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DBDC" w14:textId="77777777" w:rsidR="008A506E" w:rsidRDefault="00000000">
      <w:pPr>
        <w:pStyle w:val="a8"/>
      </w:pPr>
      <w:r>
        <w:t>招募转移性结直肠癌（</w:t>
      </w:r>
      <w:r>
        <w:rPr>
          <w:rFonts w:ascii="Times New Roman" w:eastAsia="Times New Roman"/>
        </w:rPr>
        <w:t>mCRC</w:t>
      </w:r>
      <w:r>
        <w:t>）患者</w:t>
      </w:r>
    </w:p>
    <w:p w14:paraId="06A78AA6" w14:textId="77777777" w:rsidR="008A506E" w:rsidRDefault="00000000">
      <w:pPr>
        <w:spacing w:before="190"/>
        <w:ind w:left="207"/>
        <w:rPr>
          <w:sz w:val="23"/>
        </w:rPr>
      </w:pPr>
      <w:r>
        <w:rPr>
          <w:sz w:val="23"/>
        </w:rPr>
        <w:t>尊敬的患者朋友：</w:t>
      </w:r>
    </w:p>
    <w:p w14:paraId="647EC25E" w14:textId="77777777" w:rsidR="008A506E" w:rsidRDefault="00000000">
      <w:pPr>
        <w:spacing w:before="103"/>
        <w:ind w:left="669"/>
        <w:rPr>
          <w:sz w:val="23"/>
        </w:rPr>
      </w:pPr>
      <w:r>
        <w:rPr>
          <w:sz w:val="23"/>
        </w:rPr>
        <w:t>您好！我院目前正在进行</w:t>
      </w:r>
      <w:r>
        <w:rPr>
          <w:rFonts w:ascii="Times New Roman" w:eastAsia="Times New Roman" w:hAnsi="Times New Roman"/>
          <w:sz w:val="23"/>
        </w:rPr>
        <w:t>“</w:t>
      </w:r>
      <w:r>
        <w:rPr>
          <w:sz w:val="23"/>
        </w:rPr>
        <w:t>一项斯鲁利单抗联合贝伐珠单抗联合化疗</w:t>
      </w:r>
    </w:p>
    <w:p w14:paraId="6DF37599" w14:textId="77777777" w:rsidR="008A506E" w:rsidRDefault="00000000">
      <w:pPr>
        <w:spacing w:before="109" w:line="326" w:lineRule="auto"/>
        <w:ind w:left="207" w:right="193"/>
        <w:rPr>
          <w:sz w:val="23"/>
        </w:rPr>
      </w:pPr>
      <w:r>
        <w:rPr>
          <w:sz w:val="23"/>
        </w:rPr>
        <w:t>（</w:t>
      </w:r>
      <w:r>
        <w:rPr>
          <w:rFonts w:ascii="Times New Roman" w:eastAsia="Times New Roman" w:hAnsi="Times New Roman"/>
          <w:sz w:val="23"/>
        </w:rPr>
        <w:t>XELOX</w:t>
      </w:r>
      <w:r>
        <w:rPr>
          <w:sz w:val="23"/>
        </w:rPr>
        <w:t>），对比安慰剂联合贝伐珠单抗联合化疗（</w:t>
      </w:r>
      <w:r>
        <w:rPr>
          <w:rFonts w:ascii="Times New Roman" w:eastAsia="Times New Roman" w:hAnsi="Times New Roman"/>
          <w:sz w:val="23"/>
        </w:rPr>
        <w:t>XELOX</w:t>
      </w:r>
      <w:r>
        <w:rPr>
          <w:sz w:val="23"/>
        </w:rPr>
        <w:t>），一线治疗转移性结直肠癌（</w:t>
      </w:r>
      <w:r>
        <w:rPr>
          <w:rFonts w:ascii="Times New Roman" w:eastAsia="Times New Roman" w:hAnsi="Times New Roman"/>
          <w:sz w:val="23"/>
        </w:rPr>
        <w:t>mCRC</w:t>
      </w:r>
      <w:r>
        <w:rPr>
          <w:sz w:val="23"/>
        </w:rPr>
        <w:t>）患者的随机、双盲、多中心、</w:t>
      </w:r>
      <w:r>
        <w:rPr>
          <w:rFonts w:ascii="Times New Roman" w:eastAsia="Times New Roman" w:hAnsi="Times New Roman"/>
          <w:sz w:val="23"/>
        </w:rPr>
        <w:t>II/III</w:t>
      </w:r>
      <w:r>
        <w:rPr>
          <w:sz w:val="23"/>
        </w:rPr>
        <w:t>期临床研究</w:t>
      </w:r>
      <w:r>
        <w:rPr>
          <w:rFonts w:ascii="Times New Roman" w:eastAsia="Times New Roman" w:hAnsi="Times New Roman"/>
          <w:sz w:val="23"/>
        </w:rPr>
        <w:t>”</w:t>
      </w:r>
      <w:r>
        <w:rPr>
          <w:sz w:val="23"/>
        </w:rPr>
        <w:t>，此研究已经获得国家食品药品监督管理总局（批件号：</w:t>
      </w:r>
      <w:r>
        <w:rPr>
          <w:rFonts w:ascii="Times New Roman" w:eastAsia="Times New Roman" w:hAnsi="Times New Roman"/>
          <w:sz w:val="23"/>
        </w:rPr>
        <w:t>2018L02998</w:t>
      </w:r>
      <w:r>
        <w:rPr>
          <w:sz w:val="23"/>
        </w:rPr>
        <w:t>）和我院伦理委员会的批准， 将在约</w:t>
      </w:r>
      <w:r>
        <w:rPr>
          <w:rFonts w:ascii="Times New Roman" w:eastAsia="Times New Roman" w:hAnsi="Times New Roman"/>
          <w:sz w:val="23"/>
        </w:rPr>
        <w:t>60</w:t>
      </w:r>
      <w:r>
        <w:rPr>
          <w:sz w:val="23"/>
        </w:rPr>
        <w:t>家医院进行，目前正在招募受试者。</w:t>
      </w:r>
    </w:p>
    <w:p w14:paraId="2FF36C8A" w14:textId="77777777" w:rsidR="008A506E" w:rsidRDefault="00000000">
      <w:pPr>
        <w:pStyle w:val="a3"/>
        <w:spacing w:line="293" w:lineRule="exact"/>
        <w:ind w:left="207"/>
      </w:pPr>
      <w:r>
        <w:t>如果您符合以下所有条件，将有可能参加本项研究</w:t>
      </w:r>
    </w:p>
    <w:p w14:paraId="2897AAA6" w14:textId="77777777" w:rsidR="008A506E" w:rsidRDefault="00000000">
      <w:pPr>
        <w:pStyle w:val="a9"/>
        <w:numPr>
          <w:ilvl w:val="0"/>
          <w:numId w:val="1"/>
        </w:numPr>
        <w:tabs>
          <w:tab w:val="left" w:pos="630"/>
          <w:tab w:val="left" w:pos="631"/>
        </w:tabs>
        <w:spacing w:before="110"/>
        <w:ind w:hanging="424"/>
        <w:rPr>
          <w:rFonts w:ascii="Wingdings" w:eastAsia="Wingdings" w:hAnsi="Wingdings"/>
          <w:sz w:val="24"/>
        </w:rPr>
      </w:pPr>
      <w:r>
        <w:rPr>
          <w:sz w:val="24"/>
        </w:rPr>
        <w:t xml:space="preserve">年龄在18-75岁； </w:t>
      </w:r>
    </w:p>
    <w:p w14:paraId="5D7A64D7" w14:textId="77777777" w:rsidR="008A506E" w:rsidRDefault="00000000">
      <w:pPr>
        <w:pStyle w:val="a9"/>
        <w:numPr>
          <w:ilvl w:val="0"/>
          <w:numId w:val="1"/>
        </w:numPr>
        <w:tabs>
          <w:tab w:val="left" w:pos="630"/>
          <w:tab w:val="left" w:pos="631"/>
        </w:tabs>
        <w:spacing w:before="68"/>
        <w:ind w:hanging="424"/>
        <w:rPr>
          <w:rFonts w:ascii="Wingdings" w:eastAsia="Wingdings" w:hAnsi="Wingdings"/>
          <w:sz w:val="24"/>
        </w:rPr>
      </w:pPr>
      <w:r>
        <w:rPr>
          <w:sz w:val="24"/>
        </w:rPr>
        <w:t xml:space="preserve">经组织病理学检查确诊的、不可切除的转移性/复发性结直肠腺癌； </w:t>
      </w:r>
    </w:p>
    <w:p w14:paraId="3B7B7156" w14:textId="77777777" w:rsidR="008A506E" w:rsidRDefault="00000000">
      <w:pPr>
        <w:pStyle w:val="a9"/>
        <w:numPr>
          <w:ilvl w:val="0"/>
          <w:numId w:val="1"/>
        </w:numPr>
        <w:tabs>
          <w:tab w:val="left" w:pos="630"/>
          <w:tab w:val="left" w:pos="631"/>
        </w:tabs>
        <w:spacing w:before="66"/>
        <w:ind w:hanging="424"/>
        <w:rPr>
          <w:rFonts w:ascii="Wingdings" w:eastAsia="Wingdings" w:hAnsi="Wingdings"/>
          <w:sz w:val="24"/>
        </w:rPr>
      </w:pPr>
      <w:r>
        <w:rPr>
          <w:sz w:val="24"/>
        </w:rPr>
        <w:t xml:space="preserve">既往未接受过针对转移性/复发性结直肠腺癌的系统性抗肿瘤药物治疗； </w:t>
      </w:r>
    </w:p>
    <w:p w14:paraId="09B7B2EF" w14:textId="77777777" w:rsidR="008A506E" w:rsidRDefault="00000000">
      <w:pPr>
        <w:pStyle w:val="a9"/>
        <w:numPr>
          <w:ilvl w:val="0"/>
          <w:numId w:val="1"/>
        </w:numPr>
        <w:tabs>
          <w:tab w:val="left" w:pos="630"/>
          <w:tab w:val="left" w:pos="631"/>
        </w:tabs>
        <w:spacing w:before="67"/>
        <w:ind w:hanging="424"/>
        <w:rPr>
          <w:rFonts w:ascii="Wingdings" w:eastAsia="Wingdings" w:hAnsi="Wingdings"/>
          <w:sz w:val="24"/>
        </w:rPr>
      </w:pPr>
      <w:r>
        <w:rPr>
          <w:sz w:val="24"/>
        </w:rPr>
        <w:t>对于既往接受过新辅助/辅助治疗的受试者，末次治疗至复发或进展需超过</w:t>
      </w:r>
    </w:p>
    <w:p w14:paraId="67582143" w14:textId="77777777" w:rsidR="008A506E" w:rsidRDefault="00000000">
      <w:pPr>
        <w:pStyle w:val="a3"/>
        <w:spacing w:before="67"/>
      </w:pPr>
      <w:r>
        <w:t xml:space="preserve">12个月； </w:t>
      </w:r>
    </w:p>
    <w:p w14:paraId="3B00E826" w14:textId="77777777" w:rsidR="008A506E" w:rsidRDefault="00000000">
      <w:pPr>
        <w:pStyle w:val="a9"/>
        <w:numPr>
          <w:ilvl w:val="0"/>
          <w:numId w:val="1"/>
        </w:numPr>
        <w:tabs>
          <w:tab w:val="left" w:pos="631"/>
        </w:tabs>
        <w:spacing w:before="39" w:line="242" w:lineRule="auto"/>
        <w:ind w:right="98"/>
        <w:jc w:val="both"/>
        <w:rPr>
          <w:rFonts w:ascii="Wingdings" w:eastAsia="Wingdings" w:hAnsi="Wingdings"/>
          <w:sz w:val="24"/>
        </w:rPr>
      </w:pPr>
      <w:r>
        <w:rPr>
          <w:spacing w:val="-20"/>
          <w:sz w:val="24"/>
        </w:rPr>
        <w:t xml:space="preserve">根据 </w:t>
      </w:r>
      <w:r>
        <w:rPr>
          <w:sz w:val="24"/>
        </w:rPr>
        <w:t>RECIST</w:t>
      </w:r>
      <w:r>
        <w:rPr>
          <w:spacing w:val="57"/>
          <w:sz w:val="24"/>
        </w:rPr>
        <w:t xml:space="preserve"> </w:t>
      </w:r>
      <w:r>
        <w:rPr>
          <w:sz w:val="24"/>
        </w:rPr>
        <w:t>1.1</w:t>
      </w:r>
      <w:r>
        <w:rPr>
          <w:spacing w:val="-17"/>
          <w:sz w:val="24"/>
        </w:rPr>
        <w:t xml:space="preserve"> 版标准，经 </w:t>
      </w:r>
      <w:r>
        <w:rPr>
          <w:sz w:val="24"/>
        </w:rPr>
        <w:t>IRRC</w:t>
      </w:r>
      <w:r>
        <w:rPr>
          <w:spacing w:val="-9"/>
          <w:sz w:val="24"/>
        </w:rPr>
        <w:t xml:space="preserve"> 评估至少具有一个可测量病灶，可测量病</w:t>
      </w:r>
      <w:r>
        <w:rPr>
          <w:sz w:val="24"/>
        </w:rPr>
        <w:t>灶应为未接受过放疗等局部治疗</w:t>
      </w:r>
      <w:r>
        <w:rPr>
          <w:spacing w:val="4"/>
          <w:sz w:val="24"/>
        </w:rPr>
        <w:t>（</w:t>
      </w:r>
      <w:r>
        <w:rPr>
          <w:sz w:val="24"/>
        </w:rPr>
        <w:t xml:space="preserve">位于既往放疗区域内的病灶，如果证实发生进展，也可作为符合要求的可测量病灶）； </w:t>
      </w:r>
    </w:p>
    <w:p w14:paraId="2CD6C75B" w14:textId="77777777" w:rsidR="008A506E" w:rsidRDefault="00000000">
      <w:pPr>
        <w:pStyle w:val="a9"/>
        <w:numPr>
          <w:ilvl w:val="0"/>
          <w:numId w:val="1"/>
        </w:numPr>
        <w:tabs>
          <w:tab w:val="left" w:pos="630"/>
          <w:tab w:val="left" w:pos="631"/>
        </w:tabs>
        <w:spacing w:before="42" w:line="304" w:lineRule="auto"/>
        <w:ind w:right="168"/>
        <w:rPr>
          <w:rFonts w:ascii="Wingdings" w:eastAsia="Wingdings" w:hAnsi="Wingdings"/>
          <w:sz w:val="24"/>
        </w:rPr>
      </w:pPr>
      <w:r>
        <w:rPr>
          <w:spacing w:val="-1"/>
          <w:sz w:val="24"/>
        </w:rPr>
        <w:t>同意提供足够的既往储存的肿瘤组织标本或同意进行活检采集肿瘤组织以进</w:t>
      </w:r>
      <w:r>
        <w:rPr>
          <w:spacing w:val="57"/>
          <w:sz w:val="24"/>
        </w:rPr>
        <w:t>行</w:t>
      </w:r>
      <w:r>
        <w:rPr>
          <w:rFonts w:ascii="Times New Roman" w:eastAsia="Times New Roman" w:hAnsi="Times New Roman"/>
          <w:sz w:val="24"/>
        </w:rPr>
        <w:t>CD8</w:t>
      </w:r>
      <w:r>
        <w:rPr>
          <w:sz w:val="24"/>
        </w:rPr>
        <w:t>、</w:t>
      </w:r>
      <w:r>
        <w:rPr>
          <w:rFonts w:ascii="Times New Roman" w:eastAsia="Times New Roman" w:hAnsi="Times New Roman"/>
          <w:sz w:val="24"/>
        </w:rPr>
        <w:t>PD-L1</w:t>
      </w:r>
      <w:r>
        <w:rPr>
          <w:rFonts w:ascii="Times New Roman" w:eastAsia="Times New Roman" w:hAnsi="Times New Roman"/>
          <w:spacing w:val="-5"/>
          <w:sz w:val="24"/>
        </w:rPr>
        <w:t xml:space="preserve"> </w:t>
      </w:r>
      <w:r>
        <w:rPr>
          <w:spacing w:val="8"/>
          <w:sz w:val="24"/>
        </w:rPr>
        <w:t>表达水平测定和</w:t>
      </w:r>
      <w:r>
        <w:rPr>
          <w:rFonts w:ascii="Times New Roman" w:eastAsia="Times New Roman" w:hAnsi="Times New Roman"/>
          <w:sz w:val="24"/>
        </w:rPr>
        <w:t>MSI</w:t>
      </w:r>
      <w:r>
        <w:rPr>
          <w:sz w:val="24"/>
        </w:rPr>
        <w:t>、</w:t>
      </w:r>
      <w:r>
        <w:rPr>
          <w:rFonts w:ascii="Times New Roman" w:eastAsia="Times New Roman" w:hAnsi="Times New Roman"/>
          <w:sz w:val="24"/>
        </w:rPr>
        <w:t>TMB</w:t>
      </w:r>
      <w:r>
        <w:rPr>
          <w:rFonts w:ascii="Times New Roman" w:eastAsia="Times New Roman" w:hAnsi="Times New Roman"/>
          <w:spacing w:val="-1"/>
          <w:sz w:val="24"/>
        </w:rPr>
        <w:t xml:space="preserve"> </w:t>
      </w:r>
      <w:r>
        <w:rPr>
          <w:spacing w:val="-33"/>
          <w:sz w:val="24"/>
        </w:rPr>
        <w:t xml:space="preserve">及 </w:t>
      </w:r>
      <w:r>
        <w:rPr>
          <w:rFonts w:ascii="Times New Roman" w:eastAsia="Times New Roman" w:hAnsi="Times New Roman"/>
          <w:sz w:val="24"/>
        </w:rPr>
        <w:t>KRAS</w:t>
      </w:r>
      <w:r>
        <w:rPr>
          <w:sz w:val="24"/>
        </w:rPr>
        <w:t>、</w:t>
      </w:r>
      <w:r>
        <w:rPr>
          <w:rFonts w:ascii="Times New Roman" w:eastAsia="Times New Roman" w:hAnsi="Times New Roman"/>
          <w:sz w:val="24"/>
        </w:rPr>
        <w:t>BRAF</w:t>
      </w:r>
      <w:r>
        <w:rPr>
          <w:sz w:val="24"/>
        </w:rPr>
        <w:t>、</w:t>
      </w:r>
      <w:r>
        <w:rPr>
          <w:rFonts w:ascii="Times New Roman" w:eastAsia="Times New Roman" w:hAnsi="Times New Roman"/>
          <w:sz w:val="24"/>
        </w:rPr>
        <w:t>PIK3CA</w:t>
      </w:r>
      <w:r>
        <w:rPr>
          <w:sz w:val="24"/>
        </w:rPr>
        <w:t>、</w:t>
      </w:r>
      <w:r>
        <w:rPr>
          <w:rFonts w:ascii="Times New Roman" w:eastAsia="Times New Roman" w:hAnsi="Times New Roman"/>
          <w:sz w:val="24"/>
        </w:rPr>
        <w:t>NRAS</w:t>
      </w:r>
      <w:r>
        <w:rPr>
          <w:sz w:val="24"/>
        </w:rPr>
        <w:t>、</w:t>
      </w:r>
      <w:r>
        <w:rPr>
          <w:rFonts w:ascii="Times New Roman" w:eastAsia="Times New Roman" w:hAnsi="Times New Roman"/>
          <w:sz w:val="24"/>
        </w:rPr>
        <w:t>PTEN</w:t>
      </w:r>
      <w:r>
        <w:rPr>
          <w:rFonts w:ascii="Times New Roman" w:eastAsia="Times New Roman" w:hAnsi="Times New Roman"/>
          <w:spacing w:val="56"/>
          <w:sz w:val="24"/>
        </w:rPr>
        <w:t xml:space="preserve"> </w:t>
      </w:r>
      <w:r>
        <w:rPr>
          <w:sz w:val="24"/>
        </w:rPr>
        <w:t>、</w:t>
      </w:r>
      <w:r>
        <w:rPr>
          <w:rFonts w:ascii="Times New Roman" w:eastAsia="Times New Roman" w:hAnsi="Times New Roman"/>
          <w:sz w:val="24"/>
        </w:rPr>
        <w:t>EGFR</w:t>
      </w:r>
      <w:r>
        <w:rPr>
          <w:sz w:val="24"/>
        </w:rPr>
        <w:t>、</w:t>
      </w:r>
      <w:r>
        <w:rPr>
          <w:rFonts w:ascii="Times New Roman" w:eastAsia="Times New Roman" w:hAnsi="Times New Roman"/>
          <w:sz w:val="24"/>
        </w:rPr>
        <w:t>HER2</w:t>
      </w:r>
      <w:r>
        <w:rPr>
          <w:sz w:val="24"/>
        </w:rPr>
        <w:t>、</w:t>
      </w:r>
      <w:r>
        <w:rPr>
          <w:rFonts w:ascii="Times New Roman" w:eastAsia="Times New Roman" w:hAnsi="Times New Roman"/>
          <w:sz w:val="24"/>
        </w:rPr>
        <w:t>HRAS</w:t>
      </w:r>
      <w:r>
        <w:rPr>
          <w:sz w:val="24"/>
        </w:rPr>
        <w:t>、</w:t>
      </w:r>
      <w:r>
        <w:rPr>
          <w:rFonts w:ascii="Times New Roman" w:eastAsia="Times New Roman" w:hAnsi="Times New Roman"/>
          <w:sz w:val="24"/>
        </w:rPr>
        <w:t>KIT</w:t>
      </w:r>
      <w:r>
        <w:rPr>
          <w:sz w:val="24"/>
        </w:rPr>
        <w:t>、</w:t>
      </w:r>
      <w:r>
        <w:rPr>
          <w:rFonts w:ascii="Times New Roman" w:eastAsia="Times New Roman" w:hAnsi="Times New Roman"/>
          <w:sz w:val="24"/>
        </w:rPr>
        <w:t>MET</w:t>
      </w:r>
      <w:r>
        <w:rPr>
          <w:rFonts w:ascii="Times New Roman" w:eastAsia="Times New Roman" w:hAnsi="Times New Roman"/>
          <w:spacing w:val="53"/>
          <w:sz w:val="24"/>
        </w:rPr>
        <w:t xml:space="preserve"> </w:t>
      </w:r>
      <w:r>
        <w:rPr>
          <w:spacing w:val="-2"/>
          <w:sz w:val="24"/>
        </w:rPr>
        <w:t xml:space="preserve">、 </w:t>
      </w:r>
      <w:r>
        <w:rPr>
          <w:rFonts w:ascii="Times New Roman" w:eastAsia="Times New Roman" w:hAnsi="Times New Roman"/>
          <w:sz w:val="24"/>
        </w:rPr>
        <w:t>ROS1</w:t>
      </w:r>
      <w:r>
        <w:rPr>
          <w:sz w:val="24"/>
        </w:rPr>
        <w:t>、</w:t>
      </w:r>
      <w:r>
        <w:rPr>
          <w:rFonts w:ascii="Times New Roman" w:eastAsia="Times New Roman" w:hAnsi="Times New Roman"/>
          <w:sz w:val="24"/>
        </w:rPr>
        <w:t>POLE</w:t>
      </w:r>
      <w:r>
        <w:rPr>
          <w:sz w:val="24"/>
        </w:rPr>
        <w:t>、</w:t>
      </w:r>
      <w:r>
        <w:rPr>
          <w:rFonts w:ascii="Times New Roman" w:eastAsia="Times New Roman" w:hAnsi="Times New Roman"/>
          <w:sz w:val="24"/>
        </w:rPr>
        <w:t>POLD1</w:t>
      </w:r>
      <w:r>
        <w:rPr>
          <w:sz w:val="24"/>
        </w:rPr>
        <w:t>、</w:t>
      </w:r>
      <w:r>
        <w:rPr>
          <w:rFonts w:ascii="Times New Roman" w:eastAsia="Times New Roman" w:hAnsi="Times New Roman"/>
          <w:sz w:val="24"/>
        </w:rPr>
        <w:t>TP53</w:t>
      </w:r>
      <w:r>
        <w:rPr>
          <w:rFonts w:ascii="Times New Roman" w:eastAsia="Times New Roman" w:hAnsi="Times New Roman"/>
          <w:spacing w:val="-3"/>
          <w:sz w:val="24"/>
        </w:rPr>
        <w:t xml:space="preserve"> </w:t>
      </w:r>
      <w:r>
        <w:rPr>
          <w:sz w:val="24"/>
        </w:rPr>
        <w:t>等基因突变状态检测</w:t>
      </w:r>
    </w:p>
    <w:p w14:paraId="46AAC7D3" w14:textId="77777777" w:rsidR="008A506E" w:rsidRDefault="008A506E">
      <w:pPr>
        <w:pStyle w:val="a3"/>
        <w:spacing w:before="8"/>
        <w:ind w:left="0"/>
        <w:rPr>
          <w:sz w:val="21"/>
        </w:rPr>
      </w:pPr>
    </w:p>
    <w:p w14:paraId="20C0B45C" w14:textId="77777777" w:rsidR="008A506E" w:rsidRDefault="00000000">
      <w:pPr>
        <w:pStyle w:val="a3"/>
        <w:ind w:left="207"/>
      </w:pPr>
      <w:r>
        <w:t>如果您符合研究要求，并自愿同意参加，您将获得：</w:t>
      </w:r>
    </w:p>
    <w:p w14:paraId="1BD3E492" w14:textId="77777777" w:rsidR="008A506E" w:rsidRDefault="00000000">
      <w:pPr>
        <w:pStyle w:val="a9"/>
        <w:numPr>
          <w:ilvl w:val="0"/>
          <w:numId w:val="1"/>
        </w:numPr>
        <w:tabs>
          <w:tab w:val="left" w:pos="630"/>
          <w:tab w:val="left" w:pos="631"/>
        </w:tabs>
        <w:spacing w:before="116"/>
        <w:ind w:hanging="424"/>
        <w:rPr>
          <w:rFonts w:ascii="Wingdings" w:eastAsia="Wingdings" w:hAnsi="Wingdings"/>
          <w:sz w:val="24"/>
        </w:rPr>
      </w:pPr>
      <w:r>
        <w:rPr>
          <w:sz w:val="24"/>
          <w:u w:val="single"/>
        </w:rPr>
        <w:t>斯鲁利单抗+贝伐珠单抗+化疗（奥沙利铂+卡培他滨）</w:t>
      </w:r>
      <w:r>
        <w:rPr>
          <w:sz w:val="24"/>
        </w:rPr>
        <w:t>或</w:t>
      </w:r>
      <w:r>
        <w:rPr>
          <w:sz w:val="24"/>
          <w:u w:val="single"/>
        </w:rPr>
        <w:t xml:space="preserve"> 斯鲁利单抗安慰剂</w:t>
      </w:r>
    </w:p>
    <w:p w14:paraId="2AF482E4" w14:textId="77777777" w:rsidR="008A506E" w:rsidRDefault="00000000">
      <w:pPr>
        <w:pStyle w:val="a3"/>
        <w:spacing w:before="66"/>
      </w:pPr>
      <w:r>
        <w:rPr>
          <w:u w:val="single"/>
        </w:rPr>
        <w:t>+贝伐珠单抗+化疗（奥沙利铂+卡培他滨）</w:t>
      </w:r>
      <w:r>
        <w:t xml:space="preserve">为基础的治疗； </w:t>
      </w:r>
    </w:p>
    <w:p w14:paraId="014E341B" w14:textId="77777777" w:rsidR="008A506E" w:rsidRDefault="00000000">
      <w:pPr>
        <w:pStyle w:val="a9"/>
        <w:numPr>
          <w:ilvl w:val="0"/>
          <w:numId w:val="1"/>
        </w:numPr>
        <w:tabs>
          <w:tab w:val="left" w:pos="630"/>
          <w:tab w:val="left" w:pos="631"/>
        </w:tabs>
        <w:spacing w:before="80"/>
        <w:ind w:hanging="424"/>
        <w:rPr>
          <w:rFonts w:ascii="Wingdings" w:eastAsia="Wingdings" w:hAnsi="Wingdings"/>
          <w:sz w:val="23"/>
        </w:rPr>
      </w:pPr>
      <w:r>
        <w:rPr>
          <w:spacing w:val="-2"/>
          <w:sz w:val="23"/>
        </w:rPr>
        <w:t>指定的研究医生为您做疾病诊断、病情追踪观察和治疗指导等。</w:t>
      </w:r>
    </w:p>
    <w:p w14:paraId="3031AA07" w14:textId="77777777" w:rsidR="008A506E" w:rsidRDefault="00000000">
      <w:pPr>
        <w:pStyle w:val="a3"/>
        <w:spacing w:before="122"/>
        <w:ind w:left="207"/>
      </w:pPr>
      <w:r>
        <w:t>如果您有兴趣了解本研究或本研究药物的详情，请与以下研究医生联系：</w:t>
      </w:r>
    </w:p>
    <w:p w14:paraId="7C54AD8D" w14:textId="77777777" w:rsidR="008A506E" w:rsidRDefault="008A506E">
      <w:pPr>
        <w:pStyle w:val="a3"/>
        <w:spacing w:before="5"/>
        <w:ind w:left="0"/>
        <w:rPr>
          <w:sz w:val="20"/>
        </w:rPr>
      </w:pPr>
    </w:p>
    <w:tbl>
      <w:tblPr>
        <w:tblStyle w:val="TableNormal"/>
        <w:tblW w:w="0" w:type="auto"/>
        <w:tblInd w:w="121" w:type="dxa"/>
        <w:tblLayout w:type="fixed"/>
        <w:tblLook w:val="04A0" w:firstRow="1" w:lastRow="0" w:firstColumn="1" w:lastColumn="0" w:noHBand="0" w:noVBand="1"/>
      </w:tblPr>
      <w:tblGrid>
        <w:gridCol w:w="1998"/>
        <w:gridCol w:w="3058"/>
        <w:gridCol w:w="2300"/>
      </w:tblGrid>
      <w:tr w:rsidR="008A506E" w14:paraId="4776F720" w14:textId="77777777">
        <w:trPr>
          <w:trHeight w:val="445"/>
        </w:trPr>
        <w:tc>
          <w:tcPr>
            <w:tcW w:w="1998" w:type="dxa"/>
          </w:tcPr>
          <w:p w14:paraId="5792EBDA" w14:textId="77777777" w:rsidR="008A506E" w:rsidRDefault="00000000">
            <w:pPr>
              <w:pStyle w:val="TableParagraph"/>
              <w:spacing w:line="281" w:lineRule="exact"/>
              <w:ind w:left="200"/>
              <w:jc w:val="left"/>
              <w:rPr>
                <w:sz w:val="24"/>
              </w:rPr>
            </w:pPr>
            <w:r>
              <w:rPr>
                <w:rFonts w:ascii="Times New Roman" w:eastAsia="Times New Roman"/>
                <w:sz w:val="24"/>
              </w:rPr>
              <w:t>***</w:t>
            </w:r>
            <w:r>
              <w:rPr>
                <w:sz w:val="24"/>
              </w:rPr>
              <w:t>医生</w:t>
            </w:r>
          </w:p>
        </w:tc>
        <w:tc>
          <w:tcPr>
            <w:tcW w:w="3058" w:type="dxa"/>
          </w:tcPr>
          <w:p w14:paraId="3A6EE289" w14:textId="77777777" w:rsidR="008A506E" w:rsidRDefault="00000000">
            <w:pPr>
              <w:pStyle w:val="TableParagraph"/>
              <w:spacing w:line="281" w:lineRule="exact"/>
              <w:ind w:right="657"/>
              <w:rPr>
                <w:sz w:val="24"/>
              </w:rPr>
            </w:pPr>
            <w:r>
              <w:rPr>
                <w:sz w:val="24"/>
              </w:rPr>
              <w:t>（门诊时间）</w:t>
            </w:r>
          </w:p>
        </w:tc>
        <w:tc>
          <w:tcPr>
            <w:tcW w:w="2300" w:type="dxa"/>
          </w:tcPr>
          <w:p w14:paraId="4AF58187" w14:textId="77777777" w:rsidR="008A506E" w:rsidRDefault="00000000">
            <w:pPr>
              <w:pStyle w:val="TableParagraph"/>
              <w:spacing w:line="281" w:lineRule="exact"/>
              <w:ind w:right="196"/>
              <w:rPr>
                <w:sz w:val="24"/>
              </w:rPr>
            </w:pPr>
            <w:r>
              <w:rPr>
                <w:sz w:val="24"/>
              </w:rPr>
              <w:t>（联系电话）</w:t>
            </w:r>
          </w:p>
        </w:tc>
      </w:tr>
      <w:tr w:rsidR="008A506E" w14:paraId="00FC9A0A" w14:textId="77777777">
        <w:trPr>
          <w:trHeight w:val="445"/>
        </w:trPr>
        <w:tc>
          <w:tcPr>
            <w:tcW w:w="1998" w:type="dxa"/>
          </w:tcPr>
          <w:p w14:paraId="39F373B9" w14:textId="77777777" w:rsidR="008A506E" w:rsidRDefault="00000000">
            <w:pPr>
              <w:pStyle w:val="TableParagraph"/>
              <w:spacing w:before="153"/>
              <w:ind w:left="200"/>
              <w:jc w:val="left"/>
              <w:rPr>
                <w:sz w:val="24"/>
              </w:rPr>
            </w:pPr>
            <w:r>
              <w:rPr>
                <w:rFonts w:ascii="Times New Roman" w:eastAsia="Times New Roman"/>
                <w:sz w:val="24"/>
              </w:rPr>
              <w:t>***</w:t>
            </w:r>
            <w:r>
              <w:rPr>
                <w:sz w:val="24"/>
              </w:rPr>
              <w:t>医生</w:t>
            </w:r>
          </w:p>
        </w:tc>
        <w:tc>
          <w:tcPr>
            <w:tcW w:w="3058" w:type="dxa"/>
          </w:tcPr>
          <w:p w14:paraId="4BAB45AA" w14:textId="77777777" w:rsidR="008A506E" w:rsidRDefault="00000000">
            <w:pPr>
              <w:pStyle w:val="TableParagraph"/>
              <w:spacing w:before="153"/>
              <w:ind w:right="657"/>
              <w:rPr>
                <w:sz w:val="24"/>
              </w:rPr>
            </w:pPr>
            <w:r>
              <w:rPr>
                <w:sz w:val="24"/>
              </w:rPr>
              <w:t>（门诊时间）</w:t>
            </w:r>
          </w:p>
        </w:tc>
        <w:tc>
          <w:tcPr>
            <w:tcW w:w="2300" w:type="dxa"/>
          </w:tcPr>
          <w:p w14:paraId="049C7336" w14:textId="77777777" w:rsidR="008A506E" w:rsidRDefault="00000000">
            <w:pPr>
              <w:pStyle w:val="TableParagraph"/>
              <w:spacing w:before="153"/>
              <w:ind w:right="196"/>
              <w:rPr>
                <w:sz w:val="24"/>
              </w:rPr>
            </w:pPr>
            <w:r>
              <w:rPr>
                <w:sz w:val="24"/>
              </w:rPr>
              <w:t>（联系电话）</w:t>
            </w:r>
          </w:p>
        </w:tc>
      </w:tr>
    </w:tbl>
    <w:p w14:paraId="75AE26AE" w14:textId="77777777" w:rsidR="008A506E" w:rsidRDefault="00000000">
      <w:pPr>
        <w:pStyle w:val="a3"/>
        <w:spacing w:before="178"/>
        <w:ind w:left="207"/>
      </w:pPr>
      <w:r>
        <w:t>地点：</w:t>
      </w:r>
      <w:r>
        <w:rPr>
          <w:rFonts w:ascii="Times New Roman" w:eastAsia="Times New Roman"/>
        </w:rPr>
        <w:t>**</w:t>
      </w:r>
      <w:r>
        <w:t>路</w:t>
      </w:r>
      <w:r>
        <w:rPr>
          <w:rFonts w:ascii="Times New Roman" w:eastAsia="Times New Roman"/>
        </w:rPr>
        <w:t>**</w:t>
      </w:r>
      <w:r>
        <w:t>号门诊</w:t>
      </w:r>
      <w:r>
        <w:rPr>
          <w:rFonts w:ascii="Times New Roman" w:eastAsia="Times New Roman"/>
        </w:rPr>
        <w:t>**</w:t>
      </w:r>
      <w:r>
        <w:t>楼</w:t>
      </w:r>
      <w:r>
        <w:rPr>
          <w:rFonts w:ascii="Times New Roman" w:eastAsia="Times New Roman"/>
        </w:rPr>
        <w:t>**</w:t>
      </w:r>
      <w:r>
        <w:t>科门诊</w:t>
      </w:r>
      <w:r>
        <w:rPr>
          <w:rFonts w:ascii="Times New Roman" w:eastAsia="Times New Roman"/>
        </w:rPr>
        <w:t>/</w:t>
      </w:r>
      <w:r>
        <w:t>病房</w:t>
      </w:r>
    </w:p>
    <w:p w14:paraId="350ED221" w14:textId="77777777" w:rsidR="008A506E" w:rsidRDefault="00000000">
      <w:pPr>
        <w:spacing w:before="41"/>
        <w:ind w:left="207"/>
        <w:rPr>
          <w:sz w:val="18"/>
        </w:rPr>
      </w:pPr>
      <w:r>
        <w:rPr>
          <w:sz w:val="18"/>
        </w:rPr>
        <w:t xml:space="preserve">注： </w:t>
      </w:r>
      <w:r>
        <w:rPr>
          <w:rFonts w:ascii="Times New Roman" w:eastAsia="Times New Roman"/>
          <w:sz w:val="18"/>
        </w:rPr>
        <w:t>1</w:t>
      </w:r>
      <w:r>
        <w:rPr>
          <w:sz w:val="18"/>
        </w:rPr>
        <w:t>、 本临床试验遵守《药物临床试验质量管理规范》和《赫尔辛基宣言》。</w:t>
      </w:r>
    </w:p>
    <w:p w14:paraId="14A0172E" w14:textId="77777777" w:rsidR="008A506E" w:rsidRDefault="00000000">
      <w:pPr>
        <w:spacing w:before="81"/>
        <w:ind w:left="750"/>
        <w:rPr>
          <w:sz w:val="18"/>
        </w:rPr>
      </w:pPr>
      <w:r>
        <w:rPr>
          <w:rFonts w:ascii="Times New Roman" w:eastAsia="Times New Roman"/>
          <w:sz w:val="18"/>
        </w:rPr>
        <w:t>2</w:t>
      </w:r>
      <w:r>
        <w:rPr>
          <w:sz w:val="18"/>
        </w:rPr>
        <w:t>、 此招募广告的使用范围：医院内部，</w:t>
      </w:r>
      <w:r>
        <w:rPr>
          <w:rFonts w:hint="eastAsia"/>
          <w:sz w:val="18"/>
        </w:rPr>
        <w:t>医院官网</w:t>
      </w:r>
      <w:r>
        <w:rPr>
          <w:sz w:val="18"/>
        </w:rPr>
        <w:t>。</w:t>
      </w:r>
    </w:p>
    <w:p w14:paraId="5CA5F55C" w14:textId="77777777" w:rsidR="008A506E" w:rsidRDefault="008A506E">
      <w:pPr>
        <w:pStyle w:val="a3"/>
        <w:spacing w:before="9"/>
        <w:ind w:left="0"/>
        <w:rPr>
          <w:sz w:val="9"/>
        </w:rPr>
      </w:pPr>
    </w:p>
    <w:p w14:paraId="65C2A65B" w14:textId="77777777" w:rsidR="008A506E" w:rsidRDefault="00000000">
      <w:pPr>
        <w:spacing w:before="82" w:line="231" w:lineRule="exact"/>
        <w:ind w:left="207"/>
        <w:rPr>
          <w:rFonts w:ascii="Times New Roman" w:eastAsia="Times New Roman"/>
          <w:b/>
          <w:sz w:val="18"/>
        </w:rPr>
      </w:pPr>
      <w:r>
        <w:rPr>
          <w:sz w:val="18"/>
        </w:rPr>
        <w:t>版本号：</w:t>
      </w:r>
      <w:r>
        <w:rPr>
          <w:rFonts w:hint="eastAsia"/>
          <w:sz w:val="18"/>
        </w:rPr>
        <w:t>云南省肿瘤医院专用版</w:t>
      </w:r>
      <w:r>
        <w:rPr>
          <w:rFonts w:ascii="Times New Roman" w:eastAsia="Times New Roman"/>
          <w:b/>
          <w:sz w:val="18"/>
        </w:rPr>
        <w:t>2.1</w:t>
      </w:r>
    </w:p>
    <w:p w14:paraId="7774EC63" w14:textId="77777777" w:rsidR="008A506E" w:rsidRDefault="00000000">
      <w:pPr>
        <w:tabs>
          <w:tab w:val="left" w:pos="7098"/>
        </w:tabs>
        <w:ind w:left="207"/>
        <w:rPr>
          <w:sz w:val="18"/>
        </w:rPr>
      </w:pPr>
      <w:r>
        <w:rPr>
          <w:sz w:val="18"/>
        </w:rPr>
        <w:t>版本日</w:t>
      </w:r>
      <w:r>
        <w:rPr>
          <w:spacing w:val="-5"/>
          <w:sz w:val="18"/>
        </w:rPr>
        <w:t>期</w:t>
      </w:r>
      <w:r>
        <w:rPr>
          <w:sz w:val="18"/>
        </w:rPr>
        <w:t>：</w:t>
      </w:r>
      <w:r>
        <w:rPr>
          <w:rFonts w:ascii="Times New Roman" w:eastAsia="Times New Roman"/>
          <w:b/>
          <w:sz w:val="18"/>
        </w:rPr>
        <w:t>202</w:t>
      </w:r>
      <w:r>
        <w:rPr>
          <w:rFonts w:ascii="Times New Roman" w:eastAsia="Times New Roman"/>
          <w:b/>
          <w:spacing w:val="1"/>
          <w:sz w:val="18"/>
        </w:rPr>
        <w:t>4</w:t>
      </w:r>
      <w:r>
        <w:rPr>
          <w:sz w:val="18"/>
        </w:rPr>
        <w:t>年</w:t>
      </w:r>
      <w:r>
        <w:rPr>
          <w:spacing w:val="-44"/>
          <w:sz w:val="18"/>
        </w:rPr>
        <w:t xml:space="preserve"> </w:t>
      </w:r>
      <w:r>
        <w:rPr>
          <w:rFonts w:ascii="Times New Roman" w:eastAsia="Times New Roman"/>
          <w:b/>
          <w:sz w:val="18"/>
        </w:rPr>
        <w:t>01</w:t>
      </w:r>
      <w:r>
        <w:rPr>
          <w:rFonts w:ascii="Times New Roman" w:eastAsia="Times New Roman"/>
          <w:b/>
          <w:spacing w:val="1"/>
          <w:sz w:val="18"/>
        </w:rPr>
        <w:t xml:space="preserve"> </w:t>
      </w:r>
      <w:r>
        <w:rPr>
          <w:sz w:val="18"/>
        </w:rPr>
        <w:t>月</w:t>
      </w:r>
      <w:r>
        <w:rPr>
          <w:spacing w:val="-44"/>
          <w:sz w:val="18"/>
        </w:rPr>
        <w:t xml:space="preserve"> </w:t>
      </w:r>
      <w:r>
        <w:rPr>
          <w:rFonts w:ascii="Times New Roman" w:eastAsia="Times New Roman"/>
          <w:b/>
          <w:spacing w:val="-5"/>
          <w:sz w:val="18"/>
        </w:rPr>
        <w:t>08</w:t>
      </w:r>
      <w:r>
        <w:rPr>
          <w:sz w:val="18"/>
        </w:rPr>
        <w:t>日</w:t>
      </w:r>
      <w:r>
        <w:rPr>
          <w:sz w:val="18"/>
        </w:rPr>
        <w:tab/>
        <w:t xml:space="preserve">第 </w:t>
      </w:r>
      <w:r>
        <w:rPr>
          <w:rFonts w:ascii="Calibri" w:eastAsia="Calibri"/>
          <w:b/>
          <w:sz w:val="18"/>
        </w:rPr>
        <w:t xml:space="preserve">1 </w:t>
      </w:r>
      <w:r>
        <w:rPr>
          <w:sz w:val="18"/>
        </w:rPr>
        <w:t xml:space="preserve">页 共 </w:t>
      </w:r>
      <w:r>
        <w:rPr>
          <w:rFonts w:ascii="Calibri" w:eastAsia="Calibri"/>
          <w:b/>
          <w:sz w:val="18"/>
        </w:rPr>
        <w:t>1</w:t>
      </w:r>
      <w:r>
        <w:rPr>
          <w:rFonts w:ascii="Calibri" w:eastAsia="Calibri"/>
          <w:b/>
          <w:spacing w:val="17"/>
          <w:sz w:val="18"/>
        </w:rPr>
        <w:t xml:space="preserve"> </w:t>
      </w:r>
      <w:r>
        <w:rPr>
          <w:sz w:val="18"/>
        </w:rPr>
        <w:t>页</w:t>
      </w:r>
    </w:p>
    <w:sectPr w:rsidR="008A506E">
      <w:type w:val="continuous"/>
      <w:pgSz w:w="11910" w:h="16840"/>
      <w:pgMar w:top="1540" w:right="164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2E34" w14:textId="77777777" w:rsidR="0058719C" w:rsidRDefault="0058719C" w:rsidP="006003D5">
      <w:r>
        <w:separator/>
      </w:r>
    </w:p>
  </w:endnote>
  <w:endnote w:type="continuationSeparator" w:id="0">
    <w:p w14:paraId="39A4C071" w14:textId="77777777" w:rsidR="0058719C" w:rsidRDefault="0058719C" w:rsidP="0060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8C4B" w14:textId="77777777" w:rsidR="0058719C" w:rsidRDefault="0058719C" w:rsidP="006003D5">
      <w:r>
        <w:separator/>
      </w:r>
    </w:p>
  </w:footnote>
  <w:footnote w:type="continuationSeparator" w:id="0">
    <w:p w14:paraId="69020B76" w14:textId="77777777" w:rsidR="0058719C" w:rsidRDefault="0058719C" w:rsidP="0060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097"/>
    <w:multiLevelType w:val="multilevel"/>
    <w:tmpl w:val="376C7097"/>
    <w:lvl w:ilvl="0">
      <w:numFmt w:val="bullet"/>
      <w:lvlText w:val=""/>
      <w:lvlJc w:val="left"/>
      <w:pPr>
        <w:ind w:left="630" w:hanging="423"/>
      </w:pPr>
      <w:rPr>
        <w:rFonts w:hint="default"/>
        <w:w w:val="100"/>
        <w:lang w:val="en-US" w:eastAsia="zh-CN" w:bidi="ar-SA"/>
      </w:rPr>
    </w:lvl>
    <w:lvl w:ilvl="1">
      <w:numFmt w:val="bullet"/>
      <w:lvlText w:val="•"/>
      <w:lvlJc w:val="left"/>
      <w:pPr>
        <w:ind w:left="1448" w:hanging="423"/>
      </w:pPr>
      <w:rPr>
        <w:rFonts w:hint="default"/>
        <w:lang w:val="en-US" w:eastAsia="zh-CN" w:bidi="ar-SA"/>
      </w:rPr>
    </w:lvl>
    <w:lvl w:ilvl="2">
      <w:numFmt w:val="bullet"/>
      <w:lvlText w:val="•"/>
      <w:lvlJc w:val="left"/>
      <w:pPr>
        <w:ind w:left="2256" w:hanging="423"/>
      </w:pPr>
      <w:rPr>
        <w:rFonts w:hint="default"/>
        <w:lang w:val="en-US" w:eastAsia="zh-CN" w:bidi="ar-SA"/>
      </w:rPr>
    </w:lvl>
    <w:lvl w:ilvl="3">
      <w:numFmt w:val="bullet"/>
      <w:lvlText w:val="•"/>
      <w:lvlJc w:val="left"/>
      <w:pPr>
        <w:ind w:left="3065" w:hanging="423"/>
      </w:pPr>
      <w:rPr>
        <w:rFonts w:hint="default"/>
        <w:lang w:val="en-US" w:eastAsia="zh-CN" w:bidi="ar-SA"/>
      </w:rPr>
    </w:lvl>
    <w:lvl w:ilvl="4">
      <w:numFmt w:val="bullet"/>
      <w:lvlText w:val="•"/>
      <w:lvlJc w:val="left"/>
      <w:pPr>
        <w:ind w:left="3873" w:hanging="423"/>
      </w:pPr>
      <w:rPr>
        <w:rFonts w:hint="default"/>
        <w:lang w:val="en-US" w:eastAsia="zh-CN" w:bidi="ar-SA"/>
      </w:rPr>
    </w:lvl>
    <w:lvl w:ilvl="5">
      <w:numFmt w:val="bullet"/>
      <w:lvlText w:val="•"/>
      <w:lvlJc w:val="left"/>
      <w:pPr>
        <w:ind w:left="4682" w:hanging="423"/>
      </w:pPr>
      <w:rPr>
        <w:rFonts w:hint="default"/>
        <w:lang w:val="en-US" w:eastAsia="zh-CN" w:bidi="ar-SA"/>
      </w:rPr>
    </w:lvl>
    <w:lvl w:ilvl="6">
      <w:numFmt w:val="bullet"/>
      <w:lvlText w:val="•"/>
      <w:lvlJc w:val="left"/>
      <w:pPr>
        <w:ind w:left="5490" w:hanging="423"/>
      </w:pPr>
      <w:rPr>
        <w:rFonts w:hint="default"/>
        <w:lang w:val="en-US" w:eastAsia="zh-CN" w:bidi="ar-SA"/>
      </w:rPr>
    </w:lvl>
    <w:lvl w:ilvl="7">
      <w:numFmt w:val="bullet"/>
      <w:lvlText w:val="•"/>
      <w:lvlJc w:val="left"/>
      <w:pPr>
        <w:ind w:left="6298" w:hanging="423"/>
      </w:pPr>
      <w:rPr>
        <w:rFonts w:hint="default"/>
        <w:lang w:val="en-US" w:eastAsia="zh-CN" w:bidi="ar-SA"/>
      </w:rPr>
    </w:lvl>
    <w:lvl w:ilvl="8">
      <w:numFmt w:val="bullet"/>
      <w:lvlText w:val="•"/>
      <w:lvlJc w:val="left"/>
      <w:pPr>
        <w:ind w:left="7107" w:hanging="423"/>
      </w:pPr>
      <w:rPr>
        <w:rFonts w:hint="default"/>
        <w:lang w:val="en-US" w:eastAsia="zh-CN" w:bidi="ar-SA"/>
      </w:rPr>
    </w:lvl>
  </w:abstractNum>
  <w:num w:numId="1" w16cid:durableId="28832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0NTU3MWVlNDg1OWFkZjAxZmI0NWJkZjFhYzlhZDAifQ=="/>
  </w:docVars>
  <w:rsids>
    <w:rsidRoot w:val="00A6093B"/>
    <w:rsid w:val="000C782E"/>
    <w:rsid w:val="00144981"/>
    <w:rsid w:val="001F36D6"/>
    <w:rsid w:val="002749ED"/>
    <w:rsid w:val="00314A09"/>
    <w:rsid w:val="0058719C"/>
    <w:rsid w:val="006003D5"/>
    <w:rsid w:val="0089626C"/>
    <w:rsid w:val="008A506E"/>
    <w:rsid w:val="009311EB"/>
    <w:rsid w:val="00A6093B"/>
    <w:rsid w:val="00A658AA"/>
    <w:rsid w:val="00CD7BFB"/>
    <w:rsid w:val="00D427B7"/>
    <w:rsid w:val="00E51FE0"/>
    <w:rsid w:val="00FF4401"/>
    <w:rsid w:val="132F15F9"/>
    <w:rsid w:val="5FF9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DB9B"/>
  <w15:docId w15:val="{7AF5EC54-61D2-400E-B3EB-93C50FBB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pPr>
      <w:ind w:left="630"/>
    </w:pPr>
    <w:rPr>
      <w:sz w:val="24"/>
      <w:szCs w:val="24"/>
    </w:rPr>
  </w:style>
  <w:style w:type="paragraph" w:styleId="a4">
    <w:name w:val="footer"/>
    <w:basedOn w:val="a"/>
    <w:link w:val="a5"/>
    <w:autoRedefine/>
    <w:uiPriority w:val="99"/>
    <w:unhideWhenUsed/>
    <w:qFormat/>
    <w:pPr>
      <w:tabs>
        <w:tab w:val="center" w:pos="4153"/>
        <w:tab w:val="right" w:pos="8306"/>
      </w:tabs>
      <w:snapToGrid w:val="0"/>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paragraph" w:styleId="a8">
    <w:name w:val="Title"/>
    <w:basedOn w:val="a"/>
    <w:autoRedefine/>
    <w:uiPriority w:val="10"/>
    <w:qFormat/>
    <w:pPr>
      <w:spacing w:line="720" w:lineRule="exact"/>
      <w:ind w:left="1243" w:right="1134"/>
      <w:jc w:val="center"/>
    </w:pPr>
    <w:rPr>
      <w:rFonts w:ascii="微软雅黑" w:eastAsia="微软雅黑" w:hAnsi="微软雅黑" w:cs="微软雅黑"/>
      <w:sz w:val="40"/>
      <w:szCs w:val="40"/>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9">
    <w:name w:val="List Paragraph"/>
    <w:basedOn w:val="a"/>
    <w:autoRedefine/>
    <w:uiPriority w:val="1"/>
    <w:qFormat/>
    <w:pPr>
      <w:ind w:left="630" w:hanging="424"/>
    </w:pPr>
  </w:style>
  <w:style w:type="paragraph" w:customStyle="1" w:styleId="TableParagraph">
    <w:name w:val="Table Paragraph"/>
    <w:basedOn w:val="a"/>
    <w:autoRedefine/>
    <w:uiPriority w:val="1"/>
    <w:qFormat/>
    <w:pPr>
      <w:spacing w:line="272" w:lineRule="exact"/>
      <w:jc w:val="right"/>
    </w:pPr>
  </w:style>
  <w:style w:type="paragraph" w:customStyle="1" w:styleId="1">
    <w:name w:val="修订1"/>
    <w:autoRedefine/>
    <w:hidden/>
    <w:uiPriority w:val="99"/>
    <w:semiHidden/>
    <w:qFormat/>
    <w:rPr>
      <w:rFonts w:ascii="宋体" w:eastAsia="宋体" w:hAnsi="宋体" w:cs="宋体"/>
      <w:sz w:val="22"/>
      <w:szCs w:val="22"/>
    </w:rPr>
  </w:style>
  <w:style w:type="character" w:customStyle="1" w:styleId="a7">
    <w:name w:val="页眉 字符"/>
    <w:basedOn w:val="a0"/>
    <w:link w:val="a6"/>
    <w:autoRedefine/>
    <w:uiPriority w:val="99"/>
    <w:qFormat/>
    <w:rPr>
      <w:rFonts w:ascii="宋体" w:eastAsia="宋体" w:hAnsi="宋体" w:cs="宋体"/>
      <w:sz w:val="18"/>
      <w:szCs w:val="18"/>
      <w:lang w:eastAsia="zh-CN"/>
    </w:rPr>
  </w:style>
  <w:style w:type="character" w:customStyle="1" w:styleId="a5">
    <w:name w:val="页脚 字符"/>
    <w:basedOn w:val="a0"/>
    <w:link w:val="a4"/>
    <w:autoRedefine/>
    <w:uiPriority w:val="99"/>
    <w:qFormat/>
    <w:rPr>
      <w:rFonts w:ascii="宋体" w:eastAsia="宋体" w:hAnsi="宋体" w:cs="宋体"/>
      <w:sz w:val="18"/>
      <w:szCs w:val="18"/>
      <w:lang w:eastAsia="zh-CN"/>
    </w:rPr>
  </w:style>
  <w:style w:type="paragraph" w:styleId="aa">
    <w:name w:val="Revision"/>
    <w:hidden/>
    <w:uiPriority w:val="99"/>
    <w:unhideWhenUsed/>
    <w:rsid w:val="006003D5"/>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Yu</dc:creator>
  <cp:lastModifiedBy>Shang,Gaoju/尚高局</cp:lastModifiedBy>
  <cp:revision>2</cp:revision>
  <dcterms:created xsi:type="dcterms:W3CDTF">2024-06-13T08:55:00Z</dcterms:created>
  <dcterms:modified xsi:type="dcterms:W3CDTF">2024-06-13T08:55:00Z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适用于 Microsoft 365</vt:lpwstr>
  </property>
  <property fmtid="{D5CDD505-2E9C-101B-9397-08002B2CF9AE}" pid="4" name="LastSaved">
    <vt:filetime>2023-12-13T00:00:00Z</vt:filetime>
  </property>
  <property fmtid="{D5CDD505-2E9C-101B-9397-08002B2CF9AE}" pid="5" name="KSOProductBuildVer">
    <vt:lpwstr>2052-12.1.0.16120</vt:lpwstr>
  </property>
  <property fmtid="{D5CDD505-2E9C-101B-9397-08002B2CF9AE}" pid="6" name="ICV">
    <vt:lpwstr>BE06935C55974F68B38F1242EF7F0BA8_12</vt:lpwstr>
  </property>
</Properties>
</file>