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3AAD4">
      <w:pPr>
        <w:spacing w:line="360" w:lineRule="auto"/>
        <w:jc w:val="left"/>
        <w:rPr>
          <w:rFonts w:hint="eastAsia" w:ascii="宋体" w:hAnsi="宋体" w:eastAsia="宋体" w:cs="宋体"/>
          <w:b/>
          <w:bCs/>
          <w:sz w:val="24"/>
          <w:highlight w:val="none"/>
          <w:lang w:val="en-US" w:eastAsia="zh-CN"/>
        </w:rPr>
      </w:pPr>
      <w:r>
        <w:rPr>
          <w:rFonts w:hint="eastAsia" w:ascii="宋体" w:hAnsi="宋体" w:cs="宋体"/>
          <w:b/>
          <w:bCs/>
          <w:sz w:val="24"/>
          <w:highlight w:val="none"/>
        </w:rPr>
        <w:t>附件</w:t>
      </w:r>
      <w:r>
        <w:rPr>
          <w:rFonts w:hint="eastAsia" w:ascii="宋体" w:hAnsi="宋体" w:cs="宋体"/>
          <w:b/>
          <w:bCs/>
          <w:sz w:val="24"/>
          <w:highlight w:val="none"/>
          <w:lang w:val="en-US" w:eastAsia="zh-CN"/>
        </w:rPr>
        <w:t>1</w:t>
      </w:r>
    </w:p>
    <w:p w14:paraId="6C17BC57">
      <w:pPr>
        <w:spacing w:line="360" w:lineRule="auto"/>
        <w:jc w:val="center"/>
        <w:rPr>
          <w:rFonts w:hint="eastAsia" w:ascii="宋体" w:hAnsi="宋体" w:cs="宋体"/>
          <w:b/>
          <w:bCs/>
          <w:sz w:val="24"/>
          <w:highlight w:val="none"/>
        </w:rPr>
      </w:pPr>
      <w:r>
        <w:rPr>
          <w:rFonts w:hint="eastAsia" w:ascii="宋体" w:hAnsi="宋体" w:cs="宋体"/>
          <w:b/>
          <w:bCs/>
          <w:sz w:val="24"/>
          <w:highlight w:val="none"/>
        </w:rPr>
        <w:t>报价单</w:t>
      </w:r>
    </w:p>
    <w:tbl>
      <w:tblPr>
        <w:tblStyle w:val="14"/>
        <w:tblW w:w="91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4853"/>
        <w:gridCol w:w="1932"/>
        <w:gridCol w:w="1680"/>
      </w:tblGrid>
      <w:tr w14:paraId="18147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3" w:hRule="atLeast"/>
        </w:trPr>
        <w:tc>
          <w:tcPr>
            <w:tcW w:w="704" w:type="dxa"/>
            <w:vAlign w:val="center"/>
          </w:tcPr>
          <w:p w14:paraId="7F53B6F4">
            <w:pPr>
              <w:spacing w:after="160" w:line="360" w:lineRule="auto"/>
              <w:jc w:val="center"/>
              <w:rPr>
                <w:rFonts w:hint="eastAsia" w:ascii="宋体" w:hAnsi="宋体" w:cs="宋体"/>
                <w:b/>
                <w:bCs/>
                <w:sz w:val="24"/>
                <w:highlight w:val="none"/>
              </w:rPr>
            </w:pPr>
            <w:r>
              <w:rPr>
                <w:rFonts w:hint="eastAsia" w:ascii="宋体" w:hAnsi="宋体" w:cs="宋体"/>
                <w:b/>
                <w:bCs/>
                <w:sz w:val="24"/>
                <w:highlight w:val="none"/>
              </w:rPr>
              <w:t>序号</w:t>
            </w:r>
          </w:p>
        </w:tc>
        <w:tc>
          <w:tcPr>
            <w:tcW w:w="4853" w:type="dxa"/>
            <w:vAlign w:val="center"/>
          </w:tcPr>
          <w:p w14:paraId="2B2EFD25">
            <w:pPr>
              <w:spacing w:after="160" w:line="360" w:lineRule="auto"/>
              <w:jc w:val="center"/>
              <w:rPr>
                <w:rFonts w:hint="eastAsia" w:ascii="宋体" w:hAnsi="宋体" w:cs="宋体"/>
                <w:b/>
                <w:bCs/>
                <w:sz w:val="24"/>
                <w:highlight w:val="none"/>
              </w:rPr>
            </w:pPr>
            <w:r>
              <w:rPr>
                <w:rFonts w:hint="eastAsia" w:ascii="宋体" w:hAnsi="宋体" w:cs="宋体"/>
                <w:b/>
                <w:bCs/>
                <w:sz w:val="24"/>
                <w:highlight w:val="none"/>
              </w:rPr>
              <w:t>名称</w:t>
            </w:r>
          </w:p>
        </w:tc>
        <w:tc>
          <w:tcPr>
            <w:tcW w:w="1932" w:type="dxa"/>
            <w:vAlign w:val="center"/>
          </w:tcPr>
          <w:p w14:paraId="0F5DE525">
            <w:pPr>
              <w:spacing w:after="160" w:line="360" w:lineRule="auto"/>
              <w:jc w:val="center"/>
              <w:rPr>
                <w:rFonts w:hint="eastAsia" w:ascii="宋体" w:hAnsi="宋体" w:cs="宋体"/>
                <w:b/>
                <w:bCs/>
                <w:sz w:val="24"/>
                <w:highlight w:val="none"/>
              </w:rPr>
            </w:pPr>
            <w:r>
              <w:rPr>
                <w:rFonts w:hint="eastAsia" w:ascii="宋体" w:hAnsi="宋体" w:cs="宋体"/>
                <w:b/>
                <w:bCs/>
                <w:sz w:val="24"/>
                <w:highlight w:val="none"/>
              </w:rPr>
              <w:t>含税总价（元）</w:t>
            </w:r>
          </w:p>
        </w:tc>
        <w:tc>
          <w:tcPr>
            <w:tcW w:w="1680" w:type="dxa"/>
            <w:vAlign w:val="center"/>
          </w:tcPr>
          <w:p w14:paraId="740384C5">
            <w:pPr>
              <w:spacing w:after="160" w:line="360" w:lineRule="auto"/>
              <w:jc w:val="center"/>
              <w:rPr>
                <w:rFonts w:ascii="宋体" w:hAnsi="宋体" w:cs="宋体"/>
                <w:b/>
                <w:bCs/>
                <w:sz w:val="24"/>
                <w:highlight w:val="none"/>
              </w:rPr>
            </w:pPr>
            <w:r>
              <w:rPr>
                <w:rFonts w:hint="eastAsia" w:ascii="宋体" w:hAnsi="宋体" w:cs="宋体"/>
                <w:b/>
                <w:bCs/>
                <w:sz w:val="24"/>
                <w:highlight w:val="none"/>
              </w:rPr>
              <w:t>增值税税率</w:t>
            </w:r>
          </w:p>
        </w:tc>
      </w:tr>
      <w:tr w14:paraId="6D8F8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704" w:type="dxa"/>
            <w:vAlign w:val="center"/>
          </w:tcPr>
          <w:p w14:paraId="1D372597">
            <w:pPr>
              <w:spacing w:after="160" w:line="360" w:lineRule="auto"/>
              <w:jc w:val="center"/>
              <w:rPr>
                <w:rFonts w:ascii="宋体" w:hAnsi="宋体" w:cs="宋体"/>
                <w:sz w:val="24"/>
                <w:highlight w:val="none"/>
              </w:rPr>
            </w:pPr>
            <w:r>
              <w:rPr>
                <w:rFonts w:hint="eastAsia" w:ascii="宋体" w:hAnsi="宋体" w:cs="宋体"/>
                <w:sz w:val="24"/>
                <w:highlight w:val="none"/>
              </w:rPr>
              <w:t>1</w:t>
            </w:r>
          </w:p>
        </w:tc>
        <w:tc>
          <w:tcPr>
            <w:tcW w:w="4853" w:type="dxa"/>
            <w:vAlign w:val="center"/>
          </w:tcPr>
          <w:p w14:paraId="553F7485">
            <w:pPr>
              <w:spacing w:after="160" w:line="360" w:lineRule="auto"/>
              <w:jc w:val="center"/>
              <w:rPr>
                <w:rFonts w:hint="eastAsia" w:ascii="宋体" w:hAnsi="宋体" w:cs="宋体"/>
                <w:sz w:val="24"/>
                <w:highlight w:val="none"/>
              </w:rPr>
            </w:pPr>
            <w:r>
              <w:rPr>
                <w:rFonts w:hint="eastAsia" w:ascii="宋体" w:hAnsi="宋体" w:cs="宋体"/>
                <w:sz w:val="24"/>
                <w:highlight w:val="none"/>
              </w:rPr>
              <w:t>提级论证</w:t>
            </w:r>
            <w:r>
              <w:rPr>
                <w:rFonts w:hint="eastAsia" w:ascii="宋体" w:hAnsi="宋体" w:cs="宋体"/>
                <w:sz w:val="24"/>
                <w:highlight w:val="none"/>
                <w:lang w:val="en-US" w:eastAsia="zh-CN"/>
              </w:rPr>
              <w:t>及</w:t>
            </w:r>
            <w:r>
              <w:rPr>
                <w:rFonts w:hint="eastAsia" w:ascii="宋体" w:hAnsi="宋体" w:cs="宋体"/>
                <w:sz w:val="24"/>
                <w:highlight w:val="none"/>
              </w:rPr>
              <w:t>可行性研究报告编制</w:t>
            </w:r>
          </w:p>
        </w:tc>
        <w:tc>
          <w:tcPr>
            <w:tcW w:w="1932" w:type="dxa"/>
            <w:vAlign w:val="center"/>
          </w:tcPr>
          <w:p w14:paraId="13F62521">
            <w:pPr>
              <w:spacing w:after="160" w:line="360" w:lineRule="auto"/>
              <w:jc w:val="left"/>
              <w:rPr>
                <w:rFonts w:hint="eastAsia" w:ascii="宋体" w:hAnsi="宋体" w:cs="宋体"/>
                <w:sz w:val="24"/>
                <w:highlight w:val="none"/>
              </w:rPr>
            </w:pPr>
            <w:r>
              <w:rPr>
                <w:rFonts w:hint="eastAsia" w:ascii="宋体" w:hAnsi="宋体" w:cs="宋体"/>
                <w:sz w:val="24"/>
                <w:highlight w:val="none"/>
                <w:u w:val="single"/>
              </w:rPr>
              <w:t xml:space="preserve">           </w:t>
            </w:r>
          </w:p>
        </w:tc>
        <w:tc>
          <w:tcPr>
            <w:tcW w:w="1680" w:type="dxa"/>
            <w:vAlign w:val="center"/>
          </w:tcPr>
          <w:p w14:paraId="625A1396">
            <w:pPr>
              <w:spacing w:after="160" w:line="360" w:lineRule="auto"/>
              <w:jc w:val="left"/>
              <w:rPr>
                <w:rFonts w:ascii="宋体" w:hAnsi="宋体" w:cs="宋体"/>
                <w:sz w:val="24"/>
                <w:highlight w:val="none"/>
              </w:rPr>
            </w:pPr>
            <w:r>
              <w:rPr>
                <w:rFonts w:hint="eastAsia" w:ascii="宋体" w:hAnsi="宋体" w:cs="宋体"/>
                <w:sz w:val="24"/>
                <w:highlight w:val="none"/>
                <w:u w:val="single"/>
              </w:rPr>
              <w:t xml:space="preserve">           %</w:t>
            </w:r>
          </w:p>
        </w:tc>
      </w:tr>
      <w:tr w14:paraId="74AEF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704" w:type="dxa"/>
            <w:vAlign w:val="center"/>
          </w:tcPr>
          <w:p w14:paraId="711020CF">
            <w:pPr>
              <w:spacing w:after="160" w:line="360" w:lineRule="auto"/>
              <w:jc w:val="center"/>
              <w:rPr>
                <w:rFonts w:ascii="宋体" w:hAnsi="宋体" w:cs="宋体"/>
                <w:sz w:val="24"/>
                <w:highlight w:val="none"/>
              </w:rPr>
            </w:pPr>
            <w:r>
              <w:rPr>
                <w:rFonts w:hint="eastAsia" w:ascii="宋体" w:hAnsi="宋体" w:cs="宋体"/>
                <w:sz w:val="24"/>
                <w:highlight w:val="none"/>
              </w:rPr>
              <w:t>2</w:t>
            </w:r>
          </w:p>
        </w:tc>
        <w:tc>
          <w:tcPr>
            <w:tcW w:w="4853" w:type="dxa"/>
            <w:vAlign w:val="center"/>
          </w:tcPr>
          <w:p w14:paraId="1DAA2EC8">
            <w:pPr>
              <w:spacing w:after="160" w:line="360" w:lineRule="auto"/>
              <w:jc w:val="center"/>
              <w:rPr>
                <w:rFonts w:hint="eastAsia" w:ascii="宋体" w:hAnsi="宋体" w:cs="宋体"/>
                <w:sz w:val="24"/>
                <w:highlight w:val="none"/>
              </w:rPr>
            </w:pPr>
            <w:r>
              <w:rPr>
                <w:rFonts w:hint="eastAsia" w:ascii="宋体" w:hAnsi="宋体" w:cs="宋体"/>
                <w:sz w:val="24"/>
                <w:highlight w:val="none"/>
              </w:rPr>
              <w:t>初步设计</w:t>
            </w:r>
          </w:p>
        </w:tc>
        <w:tc>
          <w:tcPr>
            <w:tcW w:w="1932" w:type="dxa"/>
            <w:vAlign w:val="center"/>
          </w:tcPr>
          <w:p w14:paraId="1AA1B746">
            <w:pPr>
              <w:spacing w:after="160" w:line="360" w:lineRule="auto"/>
              <w:jc w:val="left"/>
              <w:rPr>
                <w:rFonts w:hint="eastAsia" w:ascii="宋体" w:hAnsi="宋体" w:cs="宋体"/>
                <w:sz w:val="24"/>
                <w:highlight w:val="none"/>
                <w:u w:val="single"/>
              </w:rPr>
            </w:pPr>
            <w:r>
              <w:rPr>
                <w:rFonts w:hint="eastAsia" w:ascii="宋体" w:hAnsi="宋体" w:cs="宋体"/>
                <w:sz w:val="24"/>
                <w:highlight w:val="none"/>
                <w:u w:val="single"/>
              </w:rPr>
              <w:t xml:space="preserve">           </w:t>
            </w:r>
          </w:p>
        </w:tc>
        <w:tc>
          <w:tcPr>
            <w:tcW w:w="1680" w:type="dxa"/>
            <w:vAlign w:val="center"/>
          </w:tcPr>
          <w:p w14:paraId="7BAA75B9">
            <w:pPr>
              <w:spacing w:after="160" w:line="360" w:lineRule="auto"/>
              <w:jc w:val="left"/>
              <w:rPr>
                <w:rFonts w:hint="eastAsia" w:ascii="宋体" w:hAnsi="宋体" w:cs="宋体"/>
                <w:sz w:val="24"/>
                <w:highlight w:val="none"/>
                <w:u w:val="single"/>
              </w:rPr>
            </w:pPr>
            <w:r>
              <w:rPr>
                <w:rFonts w:hint="eastAsia" w:ascii="宋体" w:hAnsi="宋体" w:cs="宋体"/>
                <w:sz w:val="24"/>
                <w:highlight w:val="none"/>
                <w:u w:val="single"/>
              </w:rPr>
              <w:t xml:space="preserve">           %</w:t>
            </w:r>
          </w:p>
        </w:tc>
      </w:tr>
      <w:tr w14:paraId="76973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704" w:type="dxa"/>
            <w:vAlign w:val="center"/>
          </w:tcPr>
          <w:p w14:paraId="077542F4">
            <w:pPr>
              <w:spacing w:after="160" w:line="360" w:lineRule="auto"/>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3</w:t>
            </w:r>
          </w:p>
        </w:tc>
        <w:tc>
          <w:tcPr>
            <w:tcW w:w="4853" w:type="dxa"/>
            <w:vAlign w:val="center"/>
          </w:tcPr>
          <w:p w14:paraId="799EB06E">
            <w:pPr>
              <w:spacing w:after="160" w:line="360" w:lineRule="auto"/>
              <w:jc w:val="center"/>
              <w:rPr>
                <w:rFonts w:hint="eastAsia" w:ascii="宋体" w:hAnsi="宋体" w:cs="宋体"/>
                <w:sz w:val="24"/>
                <w:highlight w:val="none"/>
              </w:rPr>
            </w:pPr>
            <w:r>
              <w:rPr>
                <w:rFonts w:hint="eastAsia" w:ascii="宋体" w:hAnsi="宋体"/>
                <w:sz w:val="24"/>
                <w:highlight w:val="none"/>
                <w:lang w:eastAsia="zh-CN"/>
              </w:rPr>
              <w:t>施工图设计</w:t>
            </w:r>
          </w:p>
        </w:tc>
        <w:tc>
          <w:tcPr>
            <w:tcW w:w="1932" w:type="dxa"/>
            <w:vAlign w:val="center"/>
          </w:tcPr>
          <w:p w14:paraId="516CCE57">
            <w:pPr>
              <w:spacing w:after="160" w:line="360" w:lineRule="auto"/>
              <w:jc w:val="left"/>
              <w:rPr>
                <w:rFonts w:hint="eastAsia" w:ascii="宋体" w:hAnsi="宋体" w:cs="宋体"/>
                <w:sz w:val="24"/>
                <w:highlight w:val="none"/>
                <w:u w:val="single"/>
              </w:rPr>
            </w:pPr>
            <w:r>
              <w:rPr>
                <w:rFonts w:hint="eastAsia" w:ascii="宋体" w:hAnsi="宋体" w:cs="宋体"/>
                <w:sz w:val="24"/>
                <w:highlight w:val="none"/>
                <w:u w:val="single"/>
              </w:rPr>
              <w:t xml:space="preserve">           </w:t>
            </w:r>
          </w:p>
        </w:tc>
        <w:tc>
          <w:tcPr>
            <w:tcW w:w="1680" w:type="dxa"/>
            <w:vAlign w:val="center"/>
          </w:tcPr>
          <w:p w14:paraId="34DD59F2">
            <w:pPr>
              <w:spacing w:after="160" w:line="360" w:lineRule="auto"/>
              <w:jc w:val="left"/>
              <w:rPr>
                <w:rFonts w:hint="eastAsia" w:ascii="宋体" w:hAnsi="宋体" w:cs="宋体"/>
                <w:sz w:val="24"/>
                <w:highlight w:val="none"/>
                <w:u w:val="single"/>
              </w:rPr>
            </w:pPr>
            <w:r>
              <w:rPr>
                <w:rFonts w:hint="eastAsia" w:ascii="宋体" w:hAnsi="宋体" w:cs="宋体"/>
                <w:sz w:val="24"/>
                <w:highlight w:val="none"/>
                <w:u w:val="single"/>
              </w:rPr>
              <w:t xml:space="preserve">           %</w:t>
            </w:r>
          </w:p>
        </w:tc>
      </w:tr>
    </w:tbl>
    <w:p w14:paraId="6A77F580">
      <w:pPr>
        <w:spacing w:line="360" w:lineRule="auto"/>
        <w:rPr>
          <w:rFonts w:hint="eastAsia" w:ascii="宋体" w:hAnsi="宋体" w:cs="宋体"/>
          <w:sz w:val="24"/>
          <w:highlight w:val="none"/>
        </w:rPr>
      </w:pPr>
      <w:r>
        <w:rPr>
          <w:rFonts w:hint="eastAsia" w:ascii="宋体" w:hAnsi="宋体" w:cs="宋体"/>
          <w:sz w:val="24"/>
          <w:highlight w:val="none"/>
        </w:rPr>
        <w:t>注：</w:t>
      </w:r>
    </w:p>
    <w:p w14:paraId="15327949">
      <w:pPr>
        <w:spacing w:line="360" w:lineRule="auto"/>
        <w:rPr>
          <w:rFonts w:hint="eastAsia" w:ascii="宋体" w:hAnsi="宋体" w:cs="宋体"/>
          <w:sz w:val="24"/>
          <w:highlight w:val="none"/>
        </w:rPr>
      </w:pPr>
      <w:r>
        <w:rPr>
          <w:rFonts w:hint="eastAsia" w:ascii="宋体" w:hAnsi="宋体" w:cs="宋体"/>
          <w:sz w:val="24"/>
          <w:highlight w:val="none"/>
        </w:rPr>
        <w:t>1.“含税总价”以人民币报价，报价最多保留小数点后两位（小数点后第三位“四舍五入”）。</w:t>
      </w:r>
    </w:p>
    <w:p w14:paraId="20ED77B6">
      <w:pPr>
        <w:spacing w:line="360" w:lineRule="auto"/>
        <w:rPr>
          <w:rFonts w:hint="eastAsia" w:ascii="宋体" w:hAnsi="宋体" w:cs="宋体"/>
          <w:sz w:val="24"/>
          <w:highlight w:val="none"/>
        </w:rPr>
      </w:pPr>
      <w:r>
        <w:rPr>
          <w:rFonts w:hint="eastAsia" w:ascii="宋体" w:hAnsi="宋体" w:cs="宋体"/>
          <w:sz w:val="24"/>
          <w:highlight w:val="none"/>
        </w:rPr>
        <w:t>2.按照咨询内容明确收费数额，同时明确收费依据（如国家相关收费标准、市场行情、主要作业量等），并进行报价（需提供详细计价公式）</w:t>
      </w:r>
    </w:p>
    <w:p w14:paraId="3928CE99">
      <w:pPr>
        <w:pStyle w:val="11"/>
        <w:spacing w:line="360" w:lineRule="auto"/>
        <w:rPr>
          <w:rFonts w:hint="eastAsia"/>
          <w:sz w:val="24"/>
          <w:highlight w:val="none"/>
        </w:rPr>
      </w:pPr>
    </w:p>
    <w:p w14:paraId="62E62BE8">
      <w:pPr>
        <w:spacing w:line="360" w:lineRule="auto"/>
        <w:rPr>
          <w:rFonts w:hint="eastAsia" w:ascii="宋体" w:hAnsi="宋体" w:cs="宋体"/>
          <w:sz w:val="24"/>
          <w:highlight w:val="none"/>
        </w:rPr>
      </w:pPr>
      <w:r>
        <w:rPr>
          <w:rFonts w:hint="eastAsia" w:ascii="宋体" w:hAnsi="宋体" w:cs="宋体"/>
          <w:sz w:val="24"/>
          <w:highlight w:val="none"/>
        </w:rPr>
        <w:t>供应商单位名称（盖公章）：</w:t>
      </w:r>
    </w:p>
    <w:p w14:paraId="1E7AA3B6">
      <w:pPr>
        <w:tabs>
          <w:tab w:val="left" w:pos="1755"/>
          <w:tab w:val="left" w:pos="4015"/>
        </w:tabs>
        <w:spacing w:line="360" w:lineRule="auto"/>
        <w:rPr>
          <w:rFonts w:hint="eastAsia" w:ascii="宋体" w:hAnsi="宋体" w:cs="宋体"/>
          <w:sz w:val="24"/>
          <w:highlight w:val="none"/>
        </w:rPr>
      </w:pPr>
      <w:r>
        <w:rPr>
          <w:rFonts w:hint="eastAsia" w:ascii="宋体" w:hAnsi="宋体" w:cs="宋体"/>
          <w:sz w:val="24"/>
          <w:highlight w:val="none"/>
        </w:rPr>
        <w:t>联系人：</w:t>
      </w:r>
    </w:p>
    <w:p w14:paraId="45751165">
      <w:pPr>
        <w:tabs>
          <w:tab w:val="left" w:pos="1755"/>
          <w:tab w:val="left" w:pos="4015"/>
        </w:tabs>
        <w:spacing w:line="360" w:lineRule="auto"/>
        <w:rPr>
          <w:rFonts w:hint="eastAsia" w:ascii="宋体" w:hAnsi="宋体" w:cs="宋体"/>
          <w:sz w:val="24"/>
          <w:highlight w:val="none"/>
        </w:rPr>
      </w:pPr>
      <w:r>
        <w:rPr>
          <w:rFonts w:hint="eastAsia" w:ascii="宋体" w:hAnsi="宋体" w:cs="宋体"/>
          <w:sz w:val="24"/>
          <w:highlight w:val="none"/>
        </w:rPr>
        <w:t>联系电话：</w:t>
      </w:r>
    </w:p>
    <w:p w14:paraId="4DDD142A">
      <w:pPr>
        <w:spacing w:line="360" w:lineRule="auto"/>
        <w:rPr>
          <w:rFonts w:hint="eastAsia" w:ascii="宋体" w:hAnsi="宋体" w:cs="宋体"/>
          <w:sz w:val="24"/>
          <w:highlight w:val="none"/>
        </w:rPr>
      </w:pPr>
      <w:r>
        <w:rPr>
          <w:rFonts w:hint="eastAsia" w:ascii="宋体" w:hAnsi="宋体" w:cs="宋体"/>
          <w:sz w:val="24"/>
          <w:highlight w:val="none"/>
        </w:rPr>
        <w:t>报价日期：2026年  月  日</w:t>
      </w:r>
    </w:p>
    <w:p w14:paraId="632195DE">
      <w:pPr>
        <w:spacing w:line="360" w:lineRule="auto"/>
        <w:ind w:firstLine="484" w:firstLineChars="202"/>
        <w:rPr>
          <w:rFonts w:hint="eastAsia" w:ascii="宋体" w:hAnsi="宋体" w:cs="宋体"/>
          <w:b/>
          <w:bCs/>
          <w:sz w:val="24"/>
          <w:highlight w:val="none"/>
          <w:lang w:val="en-US" w:eastAsia="zh-CN"/>
        </w:rPr>
      </w:pPr>
      <w:r>
        <w:rPr>
          <w:rFonts w:hint="eastAsia" w:ascii="宋体" w:hAnsi="宋体" w:cs="宋体"/>
          <w:sz w:val="24"/>
          <w:highlight w:val="none"/>
        </w:rPr>
        <w:br w:type="page"/>
      </w:r>
      <w:bookmarkStart w:id="0" w:name="OLE_LINK1"/>
      <w:r>
        <w:rPr>
          <w:rFonts w:hint="eastAsia" w:ascii="宋体" w:hAnsi="宋体" w:cs="宋体"/>
          <w:b/>
          <w:bCs/>
          <w:sz w:val="24"/>
          <w:highlight w:val="none"/>
        </w:rPr>
        <w:t>附件</w:t>
      </w:r>
      <w:r>
        <w:rPr>
          <w:rFonts w:hint="eastAsia" w:ascii="宋体" w:hAnsi="宋体" w:cs="宋体"/>
          <w:b/>
          <w:bCs/>
          <w:sz w:val="24"/>
          <w:highlight w:val="none"/>
          <w:lang w:val="en-US" w:eastAsia="zh-CN"/>
        </w:rPr>
        <w:t xml:space="preserve">2   </w:t>
      </w:r>
    </w:p>
    <w:p w14:paraId="49249E5D">
      <w:pPr>
        <w:spacing w:line="360" w:lineRule="auto"/>
        <w:ind w:firstLine="487" w:firstLineChars="202"/>
        <w:jc w:val="center"/>
        <w:rPr>
          <w:rFonts w:hint="eastAsia" w:ascii="宋体" w:hAnsi="宋体"/>
          <w:b/>
          <w:bCs/>
          <w:sz w:val="24"/>
          <w:highlight w:val="none"/>
        </w:rPr>
      </w:pPr>
      <w:r>
        <w:rPr>
          <w:rFonts w:hint="eastAsia" w:ascii="宋体" w:hAnsi="宋体"/>
          <w:b/>
          <w:bCs/>
          <w:sz w:val="24"/>
          <w:highlight w:val="none"/>
        </w:rPr>
        <w:t>项目需求</w:t>
      </w:r>
    </w:p>
    <w:p w14:paraId="36A50F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cs="宋体"/>
          <w:sz w:val="24"/>
          <w:highlight w:val="none"/>
        </w:rPr>
      </w:pPr>
    </w:p>
    <w:p w14:paraId="6B06E4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cs="宋体"/>
          <w:sz w:val="24"/>
          <w:highlight w:val="none"/>
        </w:rPr>
      </w:pPr>
    </w:p>
    <w:p w14:paraId="343F8C14">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本项目主要工作流程为：中标单位需要先完成可行性研究报告编制，之后将包含可行性研究报告及相关请示报告资料报送至云南省卫生健康委主管部门进行提级论证，提级论证通过后，再将可行性研究报告报送至云南省发改委进行评审，并</w:t>
      </w:r>
      <w:r>
        <w:rPr>
          <w:rFonts w:hint="eastAsia" w:ascii="宋体" w:hAnsi="宋体"/>
          <w:sz w:val="24"/>
          <w:highlight w:val="none"/>
        </w:rPr>
        <w:t>取得相关部门对该建设项目的</w:t>
      </w:r>
      <w:r>
        <w:rPr>
          <w:rFonts w:hint="eastAsia" w:ascii="宋体" w:hAnsi="宋体"/>
          <w:sz w:val="24"/>
          <w:highlight w:val="none"/>
          <w:lang w:val="en-US" w:eastAsia="zh-CN"/>
        </w:rPr>
        <w:t>立项</w:t>
      </w:r>
      <w:r>
        <w:rPr>
          <w:rFonts w:hint="eastAsia" w:ascii="宋体" w:hAnsi="宋体"/>
          <w:sz w:val="24"/>
          <w:highlight w:val="none"/>
        </w:rPr>
        <w:t>批复</w:t>
      </w:r>
      <w:r>
        <w:rPr>
          <w:rFonts w:hint="eastAsia" w:ascii="宋体" w:hAnsi="宋体"/>
          <w:sz w:val="24"/>
          <w:highlight w:val="none"/>
          <w:lang w:val="en-US" w:eastAsia="zh-CN"/>
        </w:rPr>
        <w:t>。以下为各部分详细需求：</w:t>
      </w:r>
    </w:p>
    <w:p w14:paraId="78676E02">
      <w:pPr>
        <w:spacing w:line="360" w:lineRule="auto"/>
        <w:ind w:firstLine="487" w:firstLineChars="202"/>
        <w:rPr>
          <w:rFonts w:hint="eastAsia" w:ascii="宋体" w:hAnsi="宋体"/>
          <w:b/>
          <w:bCs/>
          <w:sz w:val="24"/>
          <w:highlight w:val="none"/>
        </w:rPr>
      </w:pPr>
      <w:r>
        <w:rPr>
          <w:rFonts w:hint="eastAsia" w:ascii="宋体" w:hAnsi="宋体"/>
          <w:b/>
          <w:bCs/>
          <w:sz w:val="24"/>
          <w:highlight w:val="none"/>
        </w:rPr>
        <w:t>一、项目实施内容及要求</w:t>
      </w:r>
    </w:p>
    <w:p w14:paraId="6B8737AF">
      <w:pPr>
        <w:spacing w:line="360" w:lineRule="auto"/>
        <w:ind w:firstLine="487" w:firstLineChars="202"/>
        <w:rPr>
          <w:rFonts w:hint="eastAsia" w:ascii="宋体" w:hAnsi="宋体"/>
          <w:b/>
          <w:bCs/>
          <w:sz w:val="24"/>
          <w:highlight w:val="none"/>
        </w:rPr>
      </w:pPr>
      <w:r>
        <w:rPr>
          <w:rFonts w:hint="eastAsia" w:ascii="宋体" w:hAnsi="宋体"/>
          <w:b/>
          <w:bCs/>
          <w:sz w:val="24"/>
          <w:highlight w:val="none"/>
        </w:rPr>
        <w:t>1.1 可行性研究报告编制部分</w:t>
      </w:r>
    </w:p>
    <w:p w14:paraId="0B041EE1">
      <w:pPr>
        <w:spacing w:line="360" w:lineRule="auto"/>
        <w:ind w:firstLine="484" w:firstLineChars="202"/>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1</w:t>
      </w:r>
      <w:r>
        <w:rPr>
          <w:rFonts w:hint="eastAsia" w:ascii="宋体" w:hAnsi="宋体"/>
          <w:sz w:val="24"/>
          <w:highlight w:val="none"/>
          <w:lang w:eastAsia="zh-CN"/>
        </w:rPr>
        <w:t>）</w:t>
      </w:r>
      <w:r>
        <w:rPr>
          <w:rFonts w:hint="eastAsia" w:ascii="宋体" w:hAnsi="宋体"/>
          <w:sz w:val="24"/>
          <w:highlight w:val="none"/>
        </w:rPr>
        <w:t>全面调研与资料收集：自合同签订起，中标单位需在合同签订之日起 15 个日历天内，组织专业人员前往现场开展详细的踏勘调研工作，全面收集项目基础资料，同时在此期间完成提级论证报告及可行性研究报告编制，提交符合要求的报告。</w:t>
      </w:r>
    </w:p>
    <w:p w14:paraId="39951ABA">
      <w:pPr>
        <w:spacing w:line="360" w:lineRule="auto"/>
        <w:ind w:firstLine="484" w:firstLineChars="202"/>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2</w:t>
      </w:r>
      <w:r>
        <w:rPr>
          <w:rFonts w:hint="eastAsia" w:ascii="宋体" w:hAnsi="宋体"/>
          <w:sz w:val="24"/>
          <w:highlight w:val="none"/>
          <w:lang w:eastAsia="zh-CN"/>
        </w:rPr>
        <w:t>）</w:t>
      </w:r>
      <w:r>
        <w:rPr>
          <w:rFonts w:hint="eastAsia" w:ascii="宋体" w:hAnsi="宋体"/>
          <w:sz w:val="24"/>
          <w:highlight w:val="none"/>
        </w:rPr>
        <w:t>市场分析与项目必要性论证：结合区域卫生规划以及医院发展战略，分析项目建设的必要性与紧迫性。</w:t>
      </w:r>
    </w:p>
    <w:p w14:paraId="25611589">
      <w:pPr>
        <w:spacing w:line="360" w:lineRule="auto"/>
        <w:ind w:firstLine="484" w:firstLineChars="202"/>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sz w:val="24"/>
          <w:highlight w:val="none"/>
        </w:rPr>
        <w:t>建设方案研究与比选：提出合理的建设规模（包括床位数量、建筑面积分配等）。提供两个以上的改造方案（涵盖总体布局、功能流线、环境设计等方面），并进行技术经济比选，提出推荐方案。</w:t>
      </w:r>
    </w:p>
    <w:p w14:paraId="17C8BD79">
      <w:pPr>
        <w:spacing w:line="360" w:lineRule="auto"/>
        <w:ind w:firstLine="484" w:firstLineChars="202"/>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4</w:t>
      </w:r>
      <w:r>
        <w:rPr>
          <w:rFonts w:hint="eastAsia" w:ascii="宋体" w:hAnsi="宋体"/>
          <w:sz w:val="24"/>
          <w:highlight w:val="none"/>
          <w:lang w:eastAsia="zh-CN"/>
        </w:rPr>
        <w:t>）</w:t>
      </w:r>
      <w:r>
        <w:rPr>
          <w:rFonts w:hint="eastAsia" w:ascii="宋体" w:hAnsi="宋体"/>
          <w:sz w:val="24"/>
          <w:highlight w:val="none"/>
        </w:rPr>
        <w:t>技术可行性分析：对改造涉及的建筑结构、装饰装修、医用气体、电气、给排水、消防设施、智能化、无障碍设施等专业进行可行性分析。</w:t>
      </w:r>
    </w:p>
    <w:p w14:paraId="541CB0C8">
      <w:pPr>
        <w:spacing w:line="360" w:lineRule="auto"/>
        <w:ind w:firstLine="484" w:firstLineChars="202"/>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5</w:t>
      </w:r>
      <w:r>
        <w:rPr>
          <w:rFonts w:hint="eastAsia" w:ascii="宋体" w:hAnsi="宋体"/>
          <w:sz w:val="24"/>
          <w:highlight w:val="none"/>
          <w:lang w:eastAsia="zh-CN"/>
        </w:rPr>
        <w:t>）</w:t>
      </w:r>
      <w:r>
        <w:rPr>
          <w:rFonts w:hint="eastAsia" w:ascii="宋体" w:hAnsi="宋体"/>
          <w:sz w:val="24"/>
          <w:highlight w:val="none"/>
        </w:rPr>
        <w:t>投资估算与资金筹措方案：编制详细且准确的投资估算表（误差率应控制在 ±10% 以内），并提出合理的资金筹措方案。</w:t>
      </w:r>
    </w:p>
    <w:p w14:paraId="5EB0B2C8">
      <w:pPr>
        <w:spacing w:line="360" w:lineRule="auto"/>
        <w:ind w:firstLine="484" w:firstLineChars="202"/>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6</w:t>
      </w:r>
      <w:r>
        <w:rPr>
          <w:rFonts w:hint="eastAsia" w:ascii="宋体" w:hAnsi="宋体"/>
          <w:sz w:val="24"/>
          <w:highlight w:val="none"/>
          <w:lang w:eastAsia="zh-CN"/>
        </w:rPr>
        <w:t>）</w:t>
      </w:r>
      <w:r>
        <w:rPr>
          <w:rFonts w:hint="eastAsia" w:ascii="宋体" w:hAnsi="宋体"/>
          <w:sz w:val="24"/>
          <w:highlight w:val="none"/>
        </w:rPr>
        <w:t>财务及社会效益评价：进行详细的财务分析以及全面的社会效益评价（如提升满意度、优化流程、控制院感等）。</w:t>
      </w:r>
    </w:p>
    <w:p w14:paraId="0A96BF57">
      <w:pPr>
        <w:spacing w:line="360" w:lineRule="auto"/>
        <w:ind w:firstLine="484" w:firstLineChars="202"/>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7</w:t>
      </w:r>
      <w:r>
        <w:rPr>
          <w:rFonts w:hint="eastAsia" w:ascii="宋体" w:hAnsi="宋体"/>
          <w:sz w:val="24"/>
          <w:highlight w:val="none"/>
          <w:lang w:eastAsia="zh-CN"/>
        </w:rPr>
        <w:t>）</w:t>
      </w:r>
      <w:r>
        <w:rPr>
          <w:rFonts w:hint="eastAsia" w:ascii="宋体" w:hAnsi="宋体"/>
          <w:sz w:val="24"/>
          <w:highlight w:val="none"/>
        </w:rPr>
        <w:t>环境影响、节能、安全及社会稳定风险分析：按照国家最新要求编制相关篇章。</w:t>
      </w:r>
    </w:p>
    <w:p w14:paraId="3BB8323A">
      <w:pPr>
        <w:spacing w:line="360" w:lineRule="auto"/>
        <w:ind w:firstLine="484" w:firstLineChars="202"/>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8</w:t>
      </w:r>
      <w:r>
        <w:rPr>
          <w:rFonts w:hint="eastAsia" w:ascii="宋体" w:hAnsi="宋体"/>
          <w:sz w:val="24"/>
          <w:highlight w:val="none"/>
          <w:lang w:eastAsia="zh-CN"/>
        </w:rPr>
        <w:t>）</w:t>
      </w:r>
      <w:r>
        <w:rPr>
          <w:rFonts w:hint="eastAsia" w:ascii="宋体" w:hAnsi="宋体"/>
          <w:sz w:val="24"/>
          <w:highlight w:val="none"/>
        </w:rPr>
        <w:t>报告编制要求：报告必须符合《政府投资项目可行性研究报告编制通用大纲》以及项目所在地审批部门的最新深度要求，内容要全面、数据要准确、论证要充分、结论要明确。需派项目负责人及主要技术人员参加可研报告的评审会，并进行汇报和答疑。在收到评审会专家意见后的 7 个日历天内，依据专家意见完成可行性研究报告的修改，并取得专家的通过意见。</w:t>
      </w:r>
    </w:p>
    <w:p w14:paraId="46222E9B">
      <w:pPr>
        <w:spacing w:line="360" w:lineRule="auto"/>
        <w:ind w:firstLine="484" w:firstLineChars="202"/>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9</w:t>
      </w:r>
      <w:r>
        <w:rPr>
          <w:rFonts w:hint="eastAsia" w:ascii="宋体" w:hAnsi="宋体"/>
          <w:sz w:val="24"/>
          <w:highlight w:val="none"/>
          <w:lang w:eastAsia="zh-CN"/>
        </w:rPr>
        <w:t>）</w:t>
      </w:r>
      <w:r>
        <w:rPr>
          <w:rFonts w:hint="eastAsia" w:ascii="宋体" w:hAnsi="宋体"/>
          <w:sz w:val="24"/>
          <w:highlight w:val="none"/>
        </w:rPr>
        <w:t>报告修改与报批：提级论证结束后，协助采购人将可行性研究报告送审，送审后的 15 个日历天内取得批复。报告需通过我院内部审核，取得相关发改部门对该建设项目可行性研究报告的批复，以满足项目审批及后续初步设计需求。具体以实际招标内容为准。</w:t>
      </w:r>
    </w:p>
    <w:p w14:paraId="6E47CAA5">
      <w:pPr>
        <w:spacing w:line="360" w:lineRule="auto"/>
        <w:ind w:firstLine="484" w:firstLineChars="202"/>
        <w:rPr>
          <w:rFonts w:hint="eastAsia" w:ascii="宋体" w:hAnsi="宋体"/>
          <w:sz w:val="24"/>
          <w:highlight w:val="none"/>
        </w:rPr>
      </w:pPr>
      <w:r>
        <w:rPr>
          <w:rFonts w:hint="eastAsia" w:ascii="宋体" w:hAnsi="宋体"/>
          <w:sz w:val="24"/>
          <w:highlight w:val="none"/>
        </w:rPr>
        <w:t>1.2 提级论证请示部分</w:t>
      </w:r>
    </w:p>
    <w:p w14:paraId="4FD9C013">
      <w:pPr>
        <w:spacing w:line="360" w:lineRule="auto"/>
        <w:ind w:firstLine="484" w:firstLineChars="202"/>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1</w:t>
      </w:r>
      <w:r>
        <w:rPr>
          <w:rFonts w:hint="eastAsia" w:ascii="宋体" w:hAnsi="宋体"/>
          <w:sz w:val="24"/>
          <w:highlight w:val="none"/>
          <w:lang w:eastAsia="zh-CN"/>
        </w:rPr>
        <w:t>）</w:t>
      </w:r>
      <w:r>
        <w:rPr>
          <w:rFonts w:hint="eastAsia" w:ascii="宋体" w:hAnsi="宋体"/>
          <w:sz w:val="24"/>
          <w:highlight w:val="none"/>
          <w:lang w:val="en-US" w:eastAsia="zh-CN"/>
        </w:rPr>
        <w:t>在可行性研究报告完成后，中标单位需自合同签订之日起 20 个日历天内，组织专业人员完成提级论证工作：</w:t>
      </w:r>
    </w:p>
    <w:p w14:paraId="7AAF99EF">
      <w:pPr>
        <w:spacing w:line="360" w:lineRule="auto"/>
        <w:ind w:firstLine="484" w:firstLineChars="202"/>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2</w:t>
      </w:r>
      <w:r>
        <w:rPr>
          <w:rFonts w:hint="eastAsia" w:ascii="宋体" w:hAnsi="宋体"/>
          <w:sz w:val="24"/>
          <w:highlight w:val="none"/>
          <w:lang w:eastAsia="zh-CN"/>
        </w:rPr>
        <w:t>）</w:t>
      </w:r>
      <w:r>
        <w:rPr>
          <w:rFonts w:hint="eastAsia" w:ascii="宋体" w:hAnsi="宋体"/>
          <w:sz w:val="24"/>
          <w:highlight w:val="none"/>
        </w:rPr>
        <w:t>报送提级论证申请及完成方案评审：根据云南省卫生健康委的要求，报送提级论证申请及完成方案评审，提交符合要求的请示报告及可行性研究报告（包含提级论证核心内容支撑材料）。</w:t>
      </w:r>
    </w:p>
    <w:p w14:paraId="57A5FF10">
      <w:pPr>
        <w:spacing w:line="360" w:lineRule="auto"/>
        <w:ind w:firstLine="484" w:firstLineChars="202"/>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sz w:val="24"/>
          <w:highlight w:val="none"/>
        </w:rPr>
        <w:t>报告修改与报批：收到评审会专家意见后的 7 个日历天内，完成可行性研究报告的修改完善工作，确保报告满足专家评审要求，并取得专家通过意见。自可行性研究报告正式送审之日起，协助采购人在 7 个日历天内完成项目所在地发改等相关审批部门的报批流程，取得可行性研究报告的正式批复文件，以保障项目后续推进需求。经医院内部多级审核后报送至发改部门，配合审批工作以获得批复，确保后续工作顺利开展。</w:t>
      </w:r>
    </w:p>
    <w:p w14:paraId="76B7190B">
      <w:pPr>
        <w:spacing w:line="360" w:lineRule="auto"/>
        <w:ind w:firstLine="484" w:firstLineChars="202"/>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4</w:t>
      </w:r>
      <w:r>
        <w:rPr>
          <w:rFonts w:hint="eastAsia" w:ascii="宋体" w:hAnsi="宋体"/>
          <w:sz w:val="24"/>
          <w:highlight w:val="none"/>
          <w:lang w:eastAsia="zh-CN"/>
        </w:rPr>
        <w:t>）</w:t>
      </w:r>
      <w:r>
        <w:rPr>
          <w:rFonts w:hint="eastAsia" w:ascii="宋体" w:hAnsi="宋体"/>
          <w:sz w:val="24"/>
          <w:highlight w:val="none"/>
          <w:lang w:val="en-US" w:eastAsia="zh-CN"/>
        </w:rPr>
        <w:t>附件包括：项目资金承诺函，承诺不新增用地、不形成隐性债务，具备自筹资金；资金闭合证明，承诺若后续未能争取到资金，将以自筹资金实施项目；必要性和可行性说明材料（简化版可行性研究报告）；真实性承诺，保证所提供资料和信息真实有效；相关表格（按要求填写）。具体以实际招标内容为准。</w:t>
      </w:r>
    </w:p>
    <w:p w14:paraId="3107B007">
      <w:pPr>
        <w:spacing w:line="360" w:lineRule="auto"/>
        <w:ind w:firstLine="484" w:firstLineChars="202"/>
        <w:rPr>
          <w:rFonts w:hint="eastAsia" w:ascii="宋体" w:hAnsi="宋体"/>
          <w:sz w:val="24"/>
          <w:highlight w:val="none"/>
        </w:rPr>
      </w:pPr>
      <w:r>
        <w:rPr>
          <w:rFonts w:hint="eastAsia" w:ascii="宋体" w:hAnsi="宋体"/>
          <w:sz w:val="24"/>
          <w:highlight w:val="none"/>
        </w:rPr>
        <w:t>1.3 初步设计部分</w:t>
      </w:r>
    </w:p>
    <w:p w14:paraId="6195FFE8">
      <w:pPr>
        <w:spacing w:line="360" w:lineRule="auto"/>
        <w:ind w:firstLine="484" w:firstLineChars="202"/>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1</w:t>
      </w:r>
      <w:r>
        <w:rPr>
          <w:rFonts w:hint="eastAsia" w:ascii="宋体" w:hAnsi="宋体"/>
          <w:sz w:val="24"/>
          <w:highlight w:val="none"/>
          <w:lang w:eastAsia="zh-CN"/>
        </w:rPr>
        <w:t>）</w:t>
      </w:r>
      <w:r>
        <w:rPr>
          <w:rFonts w:hint="eastAsia" w:ascii="宋体" w:hAnsi="宋体"/>
          <w:sz w:val="24"/>
          <w:highlight w:val="none"/>
        </w:rPr>
        <w:t>设计依据与范围：结合项目实际状况，响应招标人的要求，依据招标人提供的设计任务书内的工作范畴及其他要求，如实完成相关设计工作。设计周期为 90 个日历天，服务期内需根据招标人需求及时前往招标人指定现场进行项目对接、沟通，过程中按照招标人要求完成相关工作，并提供对应阶段的设计成果文件。</w:t>
      </w:r>
    </w:p>
    <w:p w14:paraId="256CB33C">
      <w:pPr>
        <w:spacing w:line="360" w:lineRule="auto"/>
        <w:ind w:firstLine="484" w:firstLineChars="202"/>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2</w:t>
      </w:r>
      <w:r>
        <w:rPr>
          <w:rFonts w:hint="eastAsia" w:ascii="宋体" w:hAnsi="宋体"/>
          <w:sz w:val="24"/>
          <w:highlight w:val="none"/>
          <w:lang w:eastAsia="zh-CN"/>
        </w:rPr>
        <w:t>）</w:t>
      </w:r>
      <w:r>
        <w:rPr>
          <w:rFonts w:hint="eastAsia" w:ascii="宋体" w:hAnsi="宋体"/>
          <w:sz w:val="24"/>
          <w:highlight w:val="none"/>
        </w:rPr>
        <w:t>设计工作内容：完成本项目所涉及的概算编制、修建性详细规划设计、初步设计</w:t>
      </w:r>
      <w:r>
        <w:rPr>
          <w:rFonts w:hint="eastAsia" w:ascii="宋体" w:hAnsi="宋体"/>
          <w:sz w:val="24"/>
          <w:highlight w:val="none"/>
          <w:lang w:eastAsia="zh-CN"/>
        </w:rPr>
        <w:t>及施工图设计</w:t>
      </w:r>
      <w:r>
        <w:rPr>
          <w:rFonts w:hint="eastAsia" w:ascii="宋体" w:hAnsi="宋体"/>
          <w:sz w:val="24"/>
          <w:highlight w:val="none"/>
        </w:rPr>
        <w:t>工作</w:t>
      </w:r>
      <w:r>
        <w:rPr>
          <w:rFonts w:hint="eastAsia" w:ascii="宋体" w:hAnsi="宋体"/>
          <w:sz w:val="24"/>
          <w:highlight w:val="none"/>
        </w:rPr>
        <w:t>，涵盖但不限于方案优化</w:t>
      </w:r>
      <w:r>
        <w:rPr>
          <w:rFonts w:hint="eastAsia" w:ascii="宋体" w:hAnsi="宋体"/>
          <w:sz w:val="24"/>
          <w:highlight w:val="none"/>
          <w:lang w:eastAsia="zh-CN"/>
        </w:rPr>
        <w:t>、</w:t>
      </w:r>
      <w:r>
        <w:rPr>
          <w:rFonts w:hint="eastAsia" w:ascii="宋体" w:hAnsi="宋体"/>
          <w:sz w:val="24"/>
          <w:highlight w:val="none"/>
        </w:rPr>
        <w:t>初步设计（包含设计概算）、</w:t>
      </w:r>
      <w:r>
        <w:rPr>
          <w:rFonts w:hint="eastAsia" w:ascii="宋体" w:hAnsi="宋体"/>
          <w:sz w:val="24"/>
          <w:highlight w:val="none"/>
        </w:rPr>
        <w:t>施工图设计（包含施工图预算）</w:t>
      </w:r>
      <w:r>
        <w:rPr>
          <w:rFonts w:hint="eastAsia" w:ascii="宋体" w:hAnsi="宋体"/>
          <w:sz w:val="24"/>
          <w:highlight w:val="none"/>
          <w:lang w:eastAsia="zh-CN"/>
        </w:rPr>
        <w:t>、</w:t>
      </w:r>
      <w:r>
        <w:rPr>
          <w:rFonts w:hint="eastAsia" w:ascii="宋体" w:hAnsi="宋体"/>
          <w:sz w:val="24"/>
          <w:highlight w:val="none"/>
        </w:rPr>
        <w:t>医疗流程优化、污水处理站及其他设计工作等，确保设计工作满足项目建设需求</w:t>
      </w:r>
      <w:r>
        <w:rPr>
          <w:rFonts w:hint="eastAsia" w:ascii="宋体" w:hAnsi="宋体"/>
          <w:sz w:val="24"/>
          <w:highlight w:val="none"/>
        </w:rPr>
        <w:t>、规范要求及使用功能</w:t>
      </w:r>
      <w:r>
        <w:rPr>
          <w:rFonts w:hint="eastAsia" w:ascii="宋体" w:hAnsi="宋体"/>
          <w:sz w:val="24"/>
          <w:highlight w:val="none"/>
        </w:rPr>
        <w:t>；完成相关设计的规划、抗震、人防等报批、审批事宜，配合招标人进行报批、专家咨询、资料收集</w:t>
      </w:r>
      <w:r>
        <w:rPr>
          <w:rFonts w:hint="eastAsia" w:ascii="宋体" w:hAnsi="宋体"/>
          <w:sz w:val="24"/>
          <w:highlight w:val="none"/>
          <w:lang w:val="en-US" w:eastAsia="zh-CN"/>
        </w:rPr>
        <w:t>工作；</w:t>
      </w:r>
      <w:r>
        <w:rPr>
          <w:rFonts w:hint="eastAsia" w:ascii="宋体" w:hAnsi="宋体"/>
          <w:sz w:val="24"/>
          <w:highlight w:val="none"/>
          <w:lang w:val="en-US" w:eastAsia="zh-CN"/>
        </w:rPr>
        <w:t>负责施工图审查配合、图纸变更、施工全过程技术服务、竣工验收相关设计配合等工作，以及后续整个项目过程中所需的各类设计服务与协调等相关工作</w:t>
      </w:r>
      <w:r>
        <w:rPr>
          <w:rFonts w:hint="eastAsia" w:ascii="宋体" w:hAnsi="宋体"/>
          <w:sz w:val="24"/>
          <w:highlight w:val="none"/>
        </w:rPr>
        <w:t>。</w:t>
      </w:r>
    </w:p>
    <w:p w14:paraId="7A41D276">
      <w:pPr>
        <w:spacing w:line="360" w:lineRule="auto"/>
        <w:ind w:firstLine="484" w:firstLineChars="202"/>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sz w:val="24"/>
          <w:highlight w:val="none"/>
        </w:rPr>
        <w:t>设计范围调整：具体的设计范围，招标人在项目实施过程中可根据项目具体情形进行调整，中标人须配合招标人工作，且不得以此作为索赔、调整价格的依据。具体以实际招标内容为准。</w:t>
      </w:r>
    </w:p>
    <w:p w14:paraId="57C376D3">
      <w:pPr>
        <w:spacing w:line="360" w:lineRule="auto"/>
        <w:ind w:firstLine="484" w:firstLineChars="202"/>
        <w:rPr>
          <w:rFonts w:hint="eastAsia" w:ascii="宋体" w:hAnsi="宋体"/>
          <w:sz w:val="24"/>
          <w:highlight w:val="none"/>
        </w:rPr>
      </w:pPr>
      <w:r>
        <w:rPr>
          <w:rFonts w:hint="eastAsia" w:ascii="宋体" w:hAnsi="宋体"/>
          <w:sz w:val="24"/>
          <w:highlight w:val="none"/>
        </w:rPr>
        <w:t>二、项目实施地点及质量要求</w:t>
      </w:r>
    </w:p>
    <w:p w14:paraId="4D47724E">
      <w:pPr>
        <w:spacing w:line="360" w:lineRule="auto"/>
        <w:ind w:firstLine="484" w:firstLineChars="202"/>
        <w:rPr>
          <w:rFonts w:hint="eastAsia" w:ascii="宋体" w:hAnsi="宋体"/>
          <w:sz w:val="24"/>
          <w:highlight w:val="none"/>
        </w:rPr>
      </w:pPr>
      <w:r>
        <w:rPr>
          <w:rFonts w:hint="eastAsia" w:ascii="宋体" w:hAnsi="宋体"/>
          <w:sz w:val="24"/>
          <w:highlight w:val="none"/>
        </w:rPr>
        <w:t>2.1 项目地点</w:t>
      </w:r>
    </w:p>
    <w:p w14:paraId="6ADFBE5A">
      <w:pPr>
        <w:spacing w:line="360" w:lineRule="auto"/>
        <w:ind w:firstLine="484" w:firstLineChars="202"/>
        <w:rPr>
          <w:rFonts w:hint="eastAsia" w:ascii="宋体" w:hAnsi="宋体"/>
          <w:sz w:val="24"/>
          <w:highlight w:val="none"/>
        </w:rPr>
      </w:pPr>
      <w:r>
        <w:rPr>
          <w:rFonts w:hint="eastAsia" w:ascii="宋体" w:hAnsi="宋体"/>
          <w:sz w:val="24"/>
          <w:highlight w:val="none"/>
          <w:lang w:val="en-US" w:eastAsia="zh-CN"/>
        </w:rPr>
        <w:t>云南省肿瘤医院（昆明医科大学第三附属医院），位于昆明市西山区昆州路 519 号。</w:t>
      </w:r>
    </w:p>
    <w:p w14:paraId="528A5DCE">
      <w:pPr>
        <w:spacing w:line="360" w:lineRule="auto"/>
        <w:ind w:firstLine="484" w:firstLineChars="202"/>
        <w:rPr>
          <w:rFonts w:hint="eastAsia" w:ascii="宋体" w:hAnsi="宋体"/>
          <w:sz w:val="24"/>
          <w:highlight w:val="none"/>
        </w:rPr>
      </w:pPr>
      <w:r>
        <w:rPr>
          <w:rFonts w:hint="eastAsia" w:ascii="宋体" w:hAnsi="宋体"/>
          <w:sz w:val="24"/>
          <w:highlight w:val="none"/>
        </w:rPr>
        <w:t>2.2 质量要求</w:t>
      </w:r>
    </w:p>
    <w:p w14:paraId="0968E43F">
      <w:pPr>
        <w:spacing w:line="360" w:lineRule="auto"/>
        <w:ind w:firstLine="484" w:firstLineChars="202"/>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1</w:t>
      </w:r>
      <w:r>
        <w:rPr>
          <w:rFonts w:hint="eastAsia" w:ascii="宋体" w:hAnsi="宋体"/>
          <w:sz w:val="24"/>
          <w:highlight w:val="none"/>
          <w:lang w:eastAsia="zh-CN"/>
        </w:rPr>
        <w:t>）</w:t>
      </w:r>
      <w:r>
        <w:rPr>
          <w:rFonts w:hint="eastAsia" w:ascii="宋体" w:hAnsi="宋体"/>
          <w:sz w:val="24"/>
          <w:highlight w:val="none"/>
        </w:rPr>
        <w:t>可行性研究报告编制部分：符合《政府投资项目可行性研究报告编制通用大纲》以及项目所在地审批部门的最新深度要求，内容全面、数据精准、论证充分、结论明确，符合国家强制性标准条文，满足报批要求。</w:t>
      </w:r>
    </w:p>
    <w:p w14:paraId="3A6B5B37">
      <w:pPr>
        <w:spacing w:line="360" w:lineRule="auto"/>
        <w:ind w:firstLine="484" w:firstLineChars="202"/>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2</w:t>
      </w:r>
      <w:r>
        <w:rPr>
          <w:rFonts w:hint="eastAsia" w:ascii="宋体" w:hAnsi="宋体"/>
          <w:sz w:val="24"/>
          <w:highlight w:val="none"/>
          <w:lang w:eastAsia="zh-CN"/>
        </w:rPr>
        <w:t>）</w:t>
      </w:r>
      <w:r>
        <w:rPr>
          <w:rFonts w:hint="eastAsia" w:ascii="宋体" w:hAnsi="宋体"/>
          <w:sz w:val="24"/>
          <w:highlight w:val="none"/>
        </w:rPr>
        <w:t>提级论证部分：严格遵循国家、行业及地方现行的医疗建筑、消防、环保、节能、无障碍设计等强制性标准条文，确保报告涉及的技术方案、建设要求等符合相关规范以及项目所在地审批部门的最新深度要求，内容全面、数据精准、论证充分、结论明确，符合国家强制性标准条文，满足报批要求。</w:t>
      </w:r>
    </w:p>
    <w:p w14:paraId="293BEE66">
      <w:pPr>
        <w:spacing w:line="360" w:lineRule="auto"/>
        <w:ind w:firstLine="484" w:firstLineChars="202"/>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sz w:val="24"/>
          <w:highlight w:val="none"/>
        </w:rPr>
        <w:t>初步设计</w:t>
      </w:r>
      <w:r>
        <w:rPr>
          <w:rFonts w:hint="eastAsia" w:ascii="宋体" w:hAnsi="宋体"/>
          <w:sz w:val="24"/>
          <w:highlight w:val="none"/>
          <w:lang w:val="en-US" w:eastAsia="zh-CN"/>
        </w:rPr>
        <w:t>及</w:t>
      </w:r>
      <w:r>
        <w:rPr>
          <w:rFonts w:hint="eastAsia" w:ascii="宋体" w:hAnsi="宋体"/>
          <w:sz w:val="24"/>
          <w:highlight w:val="none"/>
          <w:lang w:eastAsia="zh-CN"/>
        </w:rPr>
        <w:t>施工图设计</w:t>
      </w:r>
      <w:r>
        <w:rPr>
          <w:rFonts w:hint="eastAsia" w:ascii="宋体" w:hAnsi="宋体"/>
          <w:sz w:val="24"/>
          <w:highlight w:val="none"/>
        </w:rPr>
        <w:t>部分：符合现行国家、行业及地方标准，规范完成设计任务，满足招标人相关要求，确保设计成果文件通过相关部门审查。</w:t>
      </w:r>
    </w:p>
    <w:p w14:paraId="39B9DC9A">
      <w:pPr>
        <w:spacing w:line="360" w:lineRule="auto"/>
        <w:ind w:firstLine="484" w:firstLineChars="202"/>
        <w:rPr>
          <w:rFonts w:hint="eastAsia" w:ascii="宋体" w:hAnsi="宋体"/>
          <w:sz w:val="24"/>
          <w:highlight w:val="none"/>
        </w:rPr>
      </w:pPr>
    </w:p>
    <w:bookmarkEnd w:id="0"/>
    <w:p w14:paraId="182A5018">
      <w:pPr>
        <w:spacing w:line="360" w:lineRule="auto"/>
        <w:ind w:firstLine="484" w:firstLineChars="202"/>
        <w:rPr>
          <w:rFonts w:hint="eastAsia" w:ascii="宋体" w:hAnsi="宋体"/>
          <w:sz w:val="24"/>
          <w:highlight w:val="none"/>
        </w:rPr>
      </w:pPr>
    </w:p>
    <w:p w14:paraId="3DF694CC">
      <w:pPr>
        <w:spacing w:line="360" w:lineRule="auto"/>
        <w:ind w:firstLine="484" w:firstLineChars="202"/>
        <w:rPr>
          <w:rFonts w:hint="eastAsia" w:ascii="宋体" w:hAnsi="宋体"/>
          <w:sz w:val="24"/>
          <w:highlight w:val="none"/>
        </w:rPr>
      </w:pPr>
    </w:p>
    <w:p w14:paraId="47FC7B51">
      <w:pPr>
        <w:spacing w:line="360" w:lineRule="auto"/>
        <w:ind w:firstLine="484" w:firstLineChars="202"/>
        <w:rPr>
          <w:rFonts w:hint="eastAsia" w:ascii="宋体" w:hAnsi="宋体"/>
          <w:sz w:val="24"/>
          <w:highlight w:val="none"/>
        </w:rPr>
      </w:pPr>
    </w:p>
    <w:p w14:paraId="6D0BEFB0">
      <w:pPr>
        <w:spacing w:line="360" w:lineRule="auto"/>
        <w:ind w:firstLine="484" w:firstLineChars="202"/>
        <w:rPr>
          <w:rFonts w:hint="eastAsia" w:ascii="宋体" w:hAnsi="宋体"/>
          <w:sz w:val="24"/>
          <w:highlight w:val="none"/>
        </w:rPr>
      </w:pPr>
      <w:bookmarkStart w:id="1" w:name="_GoBack"/>
      <w:bookmarkEnd w:id="1"/>
    </w:p>
    <w:sectPr>
      <w:pgSz w:w="11906" w:h="16838"/>
      <w:pgMar w:top="1440" w:right="1800" w:bottom="1440" w:left="1800" w:header="851" w:footer="992" w:gutter="0"/>
      <w:cols w:space="425"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Display">
    <w:altName w:val="Segoe Print"/>
    <w:panose1 w:val="020B0004020202020204"/>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PMingLiU">
    <w:altName w:val="Segoe Print"/>
    <w:panose1 w:val="00000000000000000000"/>
    <w:charset w:val="00"/>
    <w:family w:val="auto"/>
    <w:pitch w:val="default"/>
    <w:sig w:usb0="00000000" w:usb1="00000000" w:usb2="00000000" w:usb3="00000000" w:csb0="00000000" w:csb1="00000000"/>
  </w:font>
  <w:font w:name="Aptos">
    <w:altName w:val="Segoe Print"/>
    <w:panose1 w:val="020B0004020202020204"/>
    <w:charset w:val="00"/>
    <w:family w:val="swiss"/>
    <w:pitch w:val="default"/>
    <w:sig w:usb0="00000000" w:usb1="00000000" w:usb2="00000000" w:usb3="00000000" w:csb0="0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8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08F"/>
    <w:rsid w:val="00893CA7"/>
    <w:rsid w:val="00AF308F"/>
    <w:rsid w:val="0C913C16"/>
    <w:rsid w:val="28457D5B"/>
    <w:rsid w:val="374A6CB8"/>
    <w:rsid w:val="509E5EE2"/>
    <w:rsid w:val="5F7D48C4"/>
    <w:rsid w:val="70947BAE"/>
    <w:rsid w:val="74344FD5"/>
    <w:rsid w:val="7C283D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4"/>
      <w:lang w:val="en-US" w:eastAsia="zh-CN" w:bidi="ar-SA"/>
      <w14:ligatures w14:val="none"/>
    </w:rPr>
  </w:style>
  <w:style w:type="paragraph" w:styleId="2">
    <w:name w:val="heading 1"/>
    <w:basedOn w:val="1"/>
    <w:next w:val="1"/>
    <w:link w:val="17"/>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lang w:eastAsia="zh-TW"/>
      <w14:ligatures w14:val="standardContextual"/>
    </w:rPr>
  </w:style>
  <w:style w:type="paragraph" w:styleId="3">
    <w:name w:val="heading 2"/>
    <w:basedOn w:val="1"/>
    <w:next w:val="1"/>
    <w:link w:val="18"/>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lang w:eastAsia="zh-TW"/>
      <w14:ligatures w14:val="standardContextual"/>
    </w:rPr>
  </w:style>
  <w:style w:type="paragraph" w:styleId="4">
    <w:name w:val="heading 3"/>
    <w:basedOn w:val="1"/>
    <w:next w:val="1"/>
    <w:link w:val="19"/>
    <w:unhideWhenUsed/>
    <w:qFormat/>
    <w:uiPriority w:val="9"/>
    <w:pPr>
      <w:keepNext/>
      <w:keepLines/>
      <w:spacing w:before="160" w:after="40" w:line="278" w:lineRule="auto"/>
      <w:jc w:val="left"/>
      <w:outlineLvl w:val="2"/>
    </w:pPr>
    <w:rPr>
      <w:rFonts w:asciiTheme="minorHAnsi" w:hAnsiTheme="minorHAnsi" w:eastAsiaTheme="majorEastAsia" w:cstheme="majorBidi"/>
      <w:color w:val="104862" w:themeColor="accent1" w:themeShade="BF"/>
      <w:sz w:val="32"/>
      <w:szCs w:val="32"/>
      <w:lang w:eastAsia="zh-TW"/>
      <w14:ligatures w14:val="standardContextual"/>
    </w:rPr>
  </w:style>
  <w:style w:type="paragraph" w:styleId="5">
    <w:name w:val="heading 4"/>
    <w:basedOn w:val="1"/>
    <w:next w:val="1"/>
    <w:link w:val="20"/>
    <w:unhideWhenUsed/>
    <w:qFormat/>
    <w:uiPriority w:val="9"/>
    <w:pPr>
      <w:keepNext/>
      <w:keepLines/>
      <w:spacing w:before="160" w:after="40" w:line="278" w:lineRule="auto"/>
      <w:jc w:val="left"/>
      <w:outlineLvl w:val="3"/>
    </w:pPr>
    <w:rPr>
      <w:rFonts w:asciiTheme="minorHAnsi" w:hAnsiTheme="minorHAnsi" w:eastAsiaTheme="majorEastAsia" w:cstheme="majorBidi"/>
      <w:color w:val="104862" w:themeColor="accent1" w:themeShade="BF"/>
      <w:sz w:val="28"/>
      <w:szCs w:val="28"/>
      <w:lang w:eastAsia="zh-TW"/>
      <w14:ligatures w14:val="standardContextual"/>
    </w:rPr>
  </w:style>
  <w:style w:type="paragraph" w:styleId="6">
    <w:name w:val="heading 5"/>
    <w:basedOn w:val="1"/>
    <w:next w:val="1"/>
    <w:link w:val="21"/>
    <w:unhideWhenUsed/>
    <w:qFormat/>
    <w:uiPriority w:val="9"/>
    <w:pPr>
      <w:keepNext/>
      <w:keepLines/>
      <w:spacing w:before="80" w:after="40" w:line="278" w:lineRule="auto"/>
      <w:jc w:val="left"/>
      <w:outlineLvl w:val="4"/>
    </w:pPr>
    <w:rPr>
      <w:rFonts w:asciiTheme="minorHAnsi" w:hAnsiTheme="minorHAnsi" w:eastAsiaTheme="majorEastAsia" w:cstheme="majorBidi"/>
      <w:color w:val="104862" w:themeColor="accent1" w:themeShade="BF"/>
      <w:sz w:val="24"/>
      <w:lang w:eastAsia="zh-TW"/>
      <w14:ligatures w14:val="standardContextual"/>
    </w:rPr>
  </w:style>
  <w:style w:type="paragraph" w:styleId="7">
    <w:name w:val="heading 6"/>
    <w:basedOn w:val="1"/>
    <w:next w:val="1"/>
    <w:link w:val="22"/>
    <w:unhideWhenUsed/>
    <w:qFormat/>
    <w:uiPriority w:val="9"/>
    <w:pPr>
      <w:keepNext/>
      <w:keepLines/>
      <w:spacing w:before="40" w:line="278" w:lineRule="auto"/>
      <w:jc w:val="left"/>
      <w:outlineLvl w:val="5"/>
    </w:pPr>
    <w:rPr>
      <w:rFonts w:asciiTheme="minorHAnsi" w:hAnsiTheme="minorHAnsi" w:eastAsiaTheme="majorEastAsia" w:cstheme="majorBidi"/>
      <w:color w:val="595959" w:themeColor="text1" w:themeTint="A6"/>
      <w:sz w:val="24"/>
      <w:lang w:eastAsia="zh-TW"/>
      <w14:textFill>
        <w14:solidFill>
          <w14:schemeClr w14:val="tx1">
            <w14:lumMod w14:val="65000"/>
            <w14:lumOff w14:val="35000"/>
          </w14:schemeClr>
        </w14:solidFill>
      </w14:textFill>
      <w14:ligatures w14:val="standardContextual"/>
    </w:rPr>
  </w:style>
  <w:style w:type="paragraph" w:styleId="8">
    <w:name w:val="heading 7"/>
    <w:basedOn w:val="1"/>
    <w:next w:val="1"/>
    <w:link w:val="23"/>
    <w:unhideWhenUsed/>
    <w:qFormat/>
    <w:uiPriority w:val="9"/>
    <w:pPr>
      <w:keepNext/>
      <w:keepLines/>
      <w:spacing w:before="40" w:line="278" w:lineRule="auto"/>
      <w:ind w:left="100" w:leftChars="100"/>
      <w:jc w:val="left"/>
      <w:outlineLvl w:val="6"/>
    </w:pPr>
    <w:rPr>
      <w:rFonts w:asciiTheme="minorHAnsi" w:hAnsiTheme="minorHAnsi" w:eastAsiaTheme="majorEastAsia" w:cstheme="majorBidi"/>
      <w:color w:val="595959" w:themeColor="text1" w:themeTint="A6"/>
      <w:sz w:val="24"/>
      <w:lang w:eastAsia="zh-TW"/>
      <w14:textFill>
        <w14:solidFill>
          <w14:schemeClr w14:val="tx1">
            <w14:lumMod w14:val="65000"/>
            <w14:lumOff w14:val="35000"/>
          </w14:schemeClr>
        </w14:solidFill>
      </w14:textFill>
      <w14:ligatures w14:val="standardContextual"/>
    </w:rPr>
  </w:style>
  <w:style w:type="paragraph" w:styleId="9">
    <w:name w:val="heading 8"/>
    <w:basedOn w:val="1"/>
    <w:next w:val="1"/>
    <w:link w:val="24"/>
    <w:unhideWhenUsed/>
    <w:qFormat/>
    <w:uiPriority w:val="9"/>
    <w:pPr>
      <w:keepNext/>
      <w:keepLines/>
      <w:spacing w:before="40" w:line="278" w:lineRule="auto"/>
      <w:ind w:left="200" w:leftChars="200"/>
      <w:jc w:val="left"/>
      <w:outlineLvl w:val="7"/>
    </w:pPr>
    <w:rPr>
      <w:rFonts w:asciiTheme="minorHAnsi" w:hAnsiTheme="minorHAnsi" w:eastAsiaTheme="majorEastAsia" w:cstheme="majorBidi"/>
      <w:color w:val="262626" w:themeColor="text1" w:themeTint="D9"/>
      <w:sz w:val="24"/>
      <w:lang w:eastAsia="zh-TW"/>
      <w14:textFill>
        <w14:solidFill>
          <w14:schemeClr w14:val="tx1">
            <w14:lumMod w14:val="85000"/>
            <w14:lumOff w14:val="15000"/>
          </w14:schemeClr>
        </w14:solidFill>
      </w14:textFill>
      <w14:ligatures w14:val="standardContextual"/>
    </w:rPr>
  </w:style>
  <w:style w:type="paragraph" w:styleId="10">
    <w:name w:val="heading 9"/>
    <w:basedOn w:val="1"/>
    <w:next w:val="1"/>
    <w:link w:val="25"/>
    <w:unhideWhenUsed/>
    <w:qFormat/>
    <w:uiPriority w:val="9"/>
    <w:pPr>
      <w:keepNext/>
      <w:keepLines/>
      <w:spacing w:before="40" w:line="278" w:lineRule="auto"/>
      <w:ind w:left="300" w:leftChars="300"/>
      <w:jc w:val="left"/>
      <w:outlineLvl w:val="8"/>
    </w:pPr>
    <w:rPr>
      <w:rFonts w:asciiTheme="minorHAnsi" w:hAnsiTheme="minorHAnsi" w:eastAsiaTheme="majorEastAsia" w:cstheme="majorBidi"/>
      <w:color w:val="262626" w:themeColor="text1" w:themeTint="D9"/>
      <w:sz w:val="24"/>
      <w:lang w:eastAsia="zh-TW"/>
      <w14:textFill>
        <w14:solidFill>
          <w14:schemeClr w14:val="tx1">
            <w14:lumMod w14:val="85000"/>
            <w14:lumOff w14:val="15000"/>
          </w14:schemeClr>
        </w14:solidFill>
      </w14:textFill>
      <w14:ligatures w14:val="standardContextual"/>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11">
    <w:name w:val="Body Text"/>
    <w:basedOn w:val="1"/>
    <w:next w:val="1"/>
    <w:qFormat/>
    <w:uiPriority w:val="0"/>
    <w:pPr>
      <w:spacing w:after="120"/>
    </w:pPr>
    <w:rPr>
      <w:szCs w:val="24"/>
    </w:rPr>
  </w:style>
  <w:style w:type="paragraph" w:styleId="12">
    <w:name w:val="Subtitle"/>
    <w:basedOn w:val="1"/>
    <w:next w:val="1"/>
    <w:link w:val="27"/>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lang w:eastAsia="zh-TW"/>
      <w14:textFill>
        <w14:solidFill>
          <w14:schemeClr w14:val="tx1">
            <w14:lumMod w14:val="65000"/>
            <w14:lumOff w14:val="35000"/>
          </w14:schemeClr>
        </w14:solidFill>
      </w14:textFill>
      <w14:ligatures w14:val="standardContextual"/>
    </w:rPr>
  </w:style>
  <w:style w:type="paragraph" w:styleId="13">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lang w:eastAsia="zh-TW"/>
      <w14:ligatures w14:val="standardContextual"/>
    </w:rPr>
  </w:style>
  <w:style w:type="character" w:styleId="16">
    <w:name w:val="Strong"/>
    <w:basedOn w:val="15"/>
    <w:qFormat/>
    <w:uiPriority w:val="22"/>
    <w:rPr>
      <w:b/>
    </w:rPr>
  </w:style>
  <w:style w:type="character" w:customStyle="1" w:styleId="17">
    <w:name w:val="標題 1 字元"/>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標題 2 字元"/>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標題 3 字元"/>
    <w:basedOn w:val="15"/>
    <w:link w:val="4"/>
    <w:semiHidden/>
    <w:qFormat/>
    <w:uiPriority w:val="9"/>
    <w:rPr>
      <w:rFonts w:eastAsiaTheme="majorEastAsia" w:cstheme="majorBidi"/>
      <w:color w:val="104862" w:themeColor="accent1" w:themeShade="BF"/>
      <w:sz w:val="32"/>
      <w:szCs w:val="32"/>
    </w:rPr>
  </w:style>
  <w:style w:type="character" w:customStyle="1" w:styleId="20">
    <w:name w:val="標題 4 字元"/>
    <w:basedOn w:val="15"/>
    <w:link w:val="5"/>
    <w:semiHidden/>
    <w:qFormat/>
    <w:uiPriority w:val="9"/>
    <w:rPr>
      <w:rFonts w:eastAsiaTheme="majorEastAsia" w:cstheme="majorBidi"/>
      <w:color w:val="104862" w:themeColor="accent1" w:themeShade="BF"/>
      <w:sz w:val="28"/>
      <w:szCs w:val="28"/>
    </w:rPr>
  </w:style>
  <w:style w:type="character" w:customStyle="1" w:styleId="21">
    <w:name w:val="標題 5 字元"/>
    <w:basedOn w:val="15"/>
    <w:link w:val="6"/>
    <w:semiHidden/>
    <w:qFormat/>
    <w:uiPriority w:val="9"/>
    <w:rPr>
      <w:rFonts w:eastAsiaTheme="majorEastAsia" w:cstheme="majorBidi"/>
      <w:color w:val="104862" w:themeColor="accent1" w:themeShade="BF"/>
    </w:rPr>
  </w:style>
  <w:style w:type="character" w:customStyle="1" w:styleId="22">
    <w:name w:val="標題 6 字元"/>
    <w:basedOn w:val="15"/>
    <w:link w:val="7"/>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標題 7 字元"/>
    <w:basedOn w:val="15"/>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標題 8 字元"/>
    <w:basedOn w:val="15"/>
    <w:link w:val="9"/>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標題 9 字元"/>
    <w:basedOn w:val="15"/>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標題 字元"/>
    <w:basedOn w:val="15"/>
    <w:link w:val="13"/>
    <w:qFormat/>
    <w:uiPriority w:val="10"/>
    <w:rPr>
      <w:rFonts w:asciiTheme="majorHAnsi" w:hAnsiTheme="majorHAnsi" w:eastAsiaTheme="majorEastAsia" w:cstheme="majorBidi"/>
      <w:spacing w:val="-10"/>
      <w:kern w:val="28"/>
      <w:sz w:val="56"/>
      <w:szCs w:val="56"/>
    </w:rPr>
  </w:style>
  <w:style w:type="character" w:customStyle="1" w:styleId="27">
    <w:name w:val="副標題 字元"/>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28">
    <w:name w:val="Quote"/>
    <w:basedOn w:val="1"/>
    <w:next w:val="1"/>
    <w:link w:val="29"/>
    <w:qFormat/>
    <w:uiPriority w:val="29"/>
    <w:pPr>
      <w:spacing w:before="160" w:after="160" w:line="278" w:lineRule="auto"/>
      <w:jc w:val="center"/>
    </w:pPr>
    <w:rPr>
      <w:rFonts w:asciiTheme="minorHAnsi" w:hAnsiTheme="minorHAnsi" w:eastAsiaTheme="minorEastAsia" w:cstheme="minorBidi"/>
      <w:i/>
      <w:iCs/>
      <w:color w:val="404040" w:themeColor="text1" w:themeTint="BF"/>
      <w:sz w:val="24"/>
      <w:lang w:eastAsia="zh-TW"/>
      <w14:textFill>
        <w14:solidFill>
          <w14:schemeClr w14:val="tx1">
            <w14:lumMod w14:val="75000"/>
            <w14:lumOff w14:val="25000"/>
          </w14:schemeClr>
        </w14:solidFill>
      </w14:textFill>
      <w14:ligatures w14:val="standardContextual"/>
    </w:rPr>
  </w:style>
  <w:style w:type="character" w:customStyle="1" w:styleId="29">
    <w:name w:val="引文 字元"/>
    <w:basedOn w:val="15"/>
    <w:link w:val="28"/>
    <w:qFormat/>
    <w:uiPriority w:val="29"/>
    <w:rPr>
      <w:i/>
      <w:iCs/>
      <w:color w:val="404040" w:themeColor="text1" w:themeTint="BF"/>
      <w14:textFill>
        <w14:solidFill>
          <w14:schemeClr w14:val="tx1">
            <w14:lumMod w14:val="75000"/>
            <w14:lumOff w14:val="25000"/>
          </w14:schemeClr>
        </w14:solidFill>
      </w14:textFill>
    </w:rPr>
  </w:style>
  <w:style w:type="paragraph" w:customStyle="1" w:styleId="30">
    <w:name w:val="List Paragraph"/>
    <w:basedOn w:val="1"/>
    <w:qFormat/>
    <w:uiPriority w:val="34"/>
    <w:pPr>
      <w:spacing w:after="160" w:line="278" w:lineRule="auto"/>
      <w:ind w:left="720"/>
      <w:contextualSpacing/>
      <w:jc w:val="left"/>
    </w:pPr>
    <w:rPr>
      <w:rFonts w:asciiTheme="minorHAnsi" w:hAnsiTheme="minorHAnsi" w:eastAsiaTheme="minorEastAsia" w:cstheme="minorBidi"/>
      <w:sz w:val="24"/>
      <w:lang w:eastAsia="zh-TW"/>
      <w14:ligatures w14:val="standardContextual"/>
    </w:rPr>
  </w:style>
  <w:style w:type="character" w:customStyle="1" w:styleId="31">
    <w:name w:val="Intense Emphasis"/>
    <w:basedOn w:val="15"/>
    <w:qFormat/>
    <w:uiPriority w:val="21"/>
    <w:rPr>
      <w:i/>
      <w:iCs/>
      <w:color w:val="104862" w:themeColor="accent1" w:themeShade="BF"/>
    </w:rPr>
  </w:style>
  <w:style w:type="paragraph" w:customStyle="1"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sz w:val="24"/>
      <w:lang w:eastAsia="zh-TW"/>
      <w14:ligatures w14:val="standardContextual"/>
    </w:rPr>
  </w:style>
  <w:style w:type="character" w:customStyle="1" w:styleId="33">
    <w:name w:val="鮮明引文 字元"/>
    <w:basedOn w:val="15"/>
    <w:link w:val="32"/>
    <w:qFormat/>
    <w:uiPriority w:val="30"/>
    <w:rPr>
      <w:i/>
      <w:iCs/>
      <w:color w:val="104862" w:themeColor="accent1" w:themeShade="BF"/>
    </w:rPr>
  </w:style>
  <w:style w:type="character" w:customStyle="1" w:styleId="34">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2393</Words>
  <Characters>2416</Characters>
  <Lines>17</Lines>
  <Paragraphs>5</Paragraphs>
  <TotalTime>0</TotalTime>
  <ScaleCrop>false</ScaleCrop>
  <LinksUpToDate>false</LinksUpToDate>
  <CharactersWithSpaces>2512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2026-03-24T04:25:00Z</dcterms:created>
  <dc:creator>張家-小丫頭</dc:creator>
  <cp:lastModifiedBy>joke</cp:lastModifiedBy>
  <dcterms:modified xsi:type="dcterms:W3CDTF">2026-05-09T01:28:20Z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eyJoZGlkIjoiYzdkM2VkZmU0NzkyODIxNWEyYWVmZDY0MTY0YjJlNzQiLCJ1c2VySWQiOiIyNzkwODc4MzEifQ==</vt:lpwstr>
  </property>
  <property fmtid="{D5CDD505-2E9C-101B-9397-08002B2CF9AE}" pid="3" name="KSOProductBuildVer">
    <vt:lpwstr>2052-12.1.0.25865</vt:lpwstr>
  </property>
  <property fmtid="{D5CDD505-2E9C-101B-9397-08002B2CF9AE}" pid="4" name="ICV">
    <vt:lpwstr>5A7207CB8E144DE18B51990CA7B128AD_12</vt:lpwstr>
  </property>
</Properties>
</file>