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1F745">
      <w:pPr>
        <w:widowControl/>
        <w:jc w:val="center"/>
        <w:textAlignment w:val="center"/>
        <w:rPr>
          <w:rFonts w:hint="default" w:ascii="宋体" w:hAnsi="宋体" w:eastAsia="宋体" w:cs="宋体"/>
          <w:b/>
          <w:bCs/>
          <w:color w:val="000000"/>
          <w:sz w:val="36"/>
          <w:szCs w:val="36"/>
          <w:lang w:val="en-US" w:eastAsia="zh-CN"/>
        </w:rPr>
      </w:pPr>
      <w:r>
        <w:rPr>
          <w:rFonts w:hint="eastAsia" w:ascii="宋体" w:hAnsi="宋体" w:eastAsia="宋体" w:cs="宋体"/>
          <w:b/>
          <w:bCs/>
          <w:color w:val="000000"/>
          <w:sz w:val="36"/>
          <w:szCs w:val="36"/>
          <w:lang w:val="en-US" w:eastAsia="zh-CN"/>
        </w:rPr>
        <w:t>2025年第四季度临床试验入组列表-肝细胞肿瘤</w:t>
      </w:r>
    </w:p>
    <w:p w14:paraId="50C1B6D2">
      <w:pPr>
        <w:widowControl/>
        <w:jc w:val="center"/>
        <w:textAlignment w:val="center"/>
        <w:rPr>
          <w:rFonts w:hint="default" w:ascii="宋体" w:hAnsi="宋体" w:eastAsia="宋体" w:cs="宋体"/>
          <w:b/>
          <w:bCs/>
          <w:color w:val="000000"/>
          <w:sz w:val="18"/>
          <w:szCs w:val="18"/>
          <w:lang w:val="en-US" w:eastAsia="zh-CN"/>
        </w:rPr>
      </w:pPr>
    </w:p>
    <w:tbl>
      <w:tblPr>
        <w:tblStyle w:val="4"/>
        <w:tblW w:w="15614" w:type="dxa"/>
        <w:jc w:val="center"/>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32" w:type="dxa"/>
          <w:left w:w="64" w:type="dxa"/>
          <w:bottom w:w="32" w:type="dxa"/>
          <w:right w:w="64" w:type="dxa"/>
        </w:tblCellMar>
      </w:tblPr>
      <w:tblGrid>
        <w:gridCol w:w="688"/>
        <w:gridCol w:w="5582"/>
        <w:gridCol w:w="3405"/>
        <w:gridCol w:w="1620"/>
        <w:gridCol w:w="2565"/>
        <w:gridCol w:w="1754"/>
      </w:tblGrid>
      <w:tr w14:paraId="30FAE325">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jc w:val="center"/>
        </w:trPr>
        <w:tc>
          <w:tcPr>
            <w:tcW w:w="688" w:type="dxa"/>
            <w:tcBorders>
              <w:bottom w:val="single" w:color="000000" w:sz="4" w:space="0"/>
            </w:tcBorders>
            <w:shd w:val="clear" w:color="auto" w:fill="FFFFFF"/>
            <w:noWrap/>
            <w:tcMar>
              <w:top w:w="15" w:type="dxa"/>
              <w:left w:w="15" w:type="dxa"/>
              <w:right w:w="15" w:type="dxa"/>
            </w:tcMar>
            <w:vAlign w:val="center"/>
          </w:tcPr>
          <w:p w14:paraId="58C72267">
            <w:pPr>
              <w:keepNext w:val="0"/>
              <w:keepLines w:val="0"/>
              <w:widowControl/>
              <w:suppressLineNumbers w:val="0"/>
              <w:snapToGrid w:val="0"/>
              <w:jc w:val="center"/>
              <w:textAlignment w:val="center"/>
              <w:rPr>
                <w:rFonts w:hint="eastAsia" w:ascii="宋体" w:hAnsi="宋体" w:eastAsia="宋体" w:cs="宋体"/>
                <w:b/>
                <w:color w:val="000000"/>
                <w:sz w:val="24"/>
                <w:szCs w:val="24"/>
              </w:rPr>
            </w:pPr>
            <w:r>
              <w:rPr>
                <w:rFonts w:hint="eastAsia" w:ascii="宋体" w:hAnsi="宋体" w:eastAsia="宋体" w:cs="宋体"/>
                <w:b/>
                <w:bCs/>
                <w:i w:val="0"/>
                <w:iCs w:val="0"/>
                <w:color w:val="000000"/>
                <w:kern w:val="0"/>
                <w:sz w:val="24"/>
                <w:szCs w:val="24"/>
                <w:u w:val="none"/>
                <w:lang w:val="en-US" w:eastAsia="zh-CN" w:bidi="ar"/>
              </w:rPr>
              <w:t>序号</w:t>
            </w:r>
          </w:p>
        </w:tc>
        <w:tc>
          <w:tcPr>
            <w:tcW w:w="5582" w:type="dxa"/>
            <w:tcBorders>
              <w:bottom w:val="single" w:color="000000" w:sz="4" w:space="0"/>
            </w:tcBorders>
            <w:shd w:val="clear" w:color="auto" w:fill="FFFFFF"/>
            <w:tcMar>
              <w:top w:w="15" w:type="dxa"/>
              <w:left w:w="15" w:type="dxa"/>
              <w:right w:w="15" w:type="dxa"/>
            </w:tcMar>
            <w:vAlign w:val="center"/>
          </w:tcPr>
          <w:p w14:paraId="6BE9482C">
            <w:pPr>
              <w:keepNext w:val="0"/>
              <w:keepLines w:val="0"/>
              <w:widowControl/>
              <w:suppressLineNumbers w:val="0"/>
              <w:snapToGrid w:val="0"/>
              <w:jc w:val="center"/>
              <w:textAlignment w:val="center"/>
              <w:rPr>
                <w:rFonts w:hint="eastAsia" w:ascii="宋体" w:hAnsi="宋体" w:eastAsia="宋体" w:cs="宋体"/>
                <w:b/>
                <w:color w:val="000000"/>
                <w:sz w:val="24"/>
                <w:szCs w:val="21"/>
              </w:rPr>
            </w:pPr>
            <w:r>
              <w:rPr>
                <w:rFonts w:hint="eastAsia" w:ascii="宋体" w:hAnsi="宋体" w:eastAsia="宋体" w:cs="宋体"/>
                <w:b/>
                <w:bCs/>
                <w:i w:val="0"/>
                <w:iCs w:val="0"/>
                <w:color w:val="000000"/>
                <w:kern w:val="0"/>
                <w:sz w:val="24"/>
                <w:szCs w:val="24"/>
                <w:u w:val="none"/>
                <w:lang w:val="en-US" w:eastAsia="zh-CN" w:bidi="ar"/>
              </w:rPr>
              <w:t>项目名称</w:t>
            </w:r>
          </w:p>
        </w:tc>
        <w:tc>
          <w:tcPr>
            <w:tcW w:w="3405" w:type="dxa"/>
            <w:tcBorders>
              <w:bottom w:val="single" w:color="000000" w:sz="4" w:space="0"/>
            </w:tcBorders>
            <w:shd w:val="clear" w:color="auto" w:fill="FFFFFF"/>
            <w:tcMar>
              <w:top w:w="15" w:type="dxa"/>
              <w:left w:w="15" w:type="dxa"/>
              <w:right w:w="15" w:type="dxa"/>
            </w:tcMar>
            <w:vAlign w:val="center"/>
          </w:tcPr>
          <w:p w14:paraId="157BA3CD">
            <w:pPr>
              <w:keepNext w:val="0"/>
              <w:keepLines w:val="0"/>
              <w:widowControl/>
              <w:suppressLineNumbers w:val="0"/>
              <w:snapToGrid w:val="0"/>
              <w:jc w:val="center"/>
              <w:textAlignment w:val="center"/>
              <w:rPr>
                <w:rFonts w:hint="eastAsia" w:ascii="宋体" w:hAnsi="宋体" w:eastAsia="宋体" w:cs="宋体"/>
                <w:b/>
                <w:color w:val="000000"/>
                <w:sz w:val="24"/>
                <w:szCs w:val="21"/>
              </w:rPr>
            </w:pPr>
            <w:r>
              <w:rPr>
                <w:rFonts w:hint="eastAsia" w:ascii="宋体" w:hAnsi="宋体" w:eastAsia="宋体" w:cs="宋体"/>
                <w:b/>
                <w:bCs/>
                <w:i w:val="0"/>
                <w:iCs w:val="0"/>
                <w:color w:val="000000"/>
                <w:kern w:val="0"/>
                <w:sz w:val="24"/>
                <w:szCs w:val="24"/>
                <w:u w:val="none"/>
                <w:lang w:val="en-US" w:eastAsia="zh-CN" w:bidi="ar"/>
              </w:rPr>
              <w:t>适应症</w:t>
            </w:r>
          </w:p>
        </w:tc>
        <w:tc>
          <w:tcPr>
            <w:tcW w:w="1620" w:type="dxa"/>
            <w:tcBorders>
              <w:bottom w:val="single" w:color="000000" w:sz="4" w:space="0"/>
            </w:tcBorders>
            <w:shd w:val="clear" w:color="auto" w:fill="FFFFFF"/>
            <w:tcMar>
              <w:top w:w="15" w:type="dxa"/>
              <w:left w:w="15" w:type="dxa"/>
              <w:right w:w="15" w:type="dxa"/>
            </w:tcMar>
            <w:vAlign w:val="center"/>
          </w:tcPr>
          <w:p w14:paraId="380B6A99">
            <w:pPr>
              <w:keepNext w:val="0"/>
              <w:keepLines w:val="0"/>
              <w:widowControl/>
              <w:suppressLineNumbers w:val="0"/>
              <w:snapToGrid w:val="0"/>
              <w:jc w:val="center"/>
              <w:textAlignment w:val="center"/>
              <w:rPr>
                <w:rFonts w:hint="eastAsia" w:ascii="宋体" w:hAnsi="宋体" w:eastAsia="宋体" w:cs="宋体"/>
                <w:b/>
                <w:color w:val="000000"/>
                <w:sz w:val="24"/>
                <w:szCs w:val="21"/>
              </w:rPr>
            </w:pPr>
            <w:r>
              <w:rPr>
                <w:rFonts w:hint="eastAsia" w:ascii="宋体" w:hAnsi="宋体" w:eastAsia="宋体" w:cs="宋体"/>
                <w:b/>
                <w:bCs/>
                <w:i w:val="0"/>
                <w:iCs w:val="0"/>
                <w:color w:val="000000"/>
                <w:kern w:val="0"/>
                <w:sz w:val="24"/>
                <w:szCs w:val="24"/>
                <w:u w:val="none"/>
                <w:lang w:val="en-US" w:eastAsia="zh-CN" w:bidi="ar"/>
              </w:rPr>
              <w:t>研究科室</w:t>
            </w:r>
          </w:p>
        </w:tc>
        <w:tc>
          <w:tcPr>
            <w:tcW w:w="2565" w:type="dxa"/>
            <w:tcBorders>
              <w:bottom w:val="single" w:color="000000" w:sz="4" w:space="0"/>
            </w:tcBorders>
            <w:shd w:val="clear" w:color="auto" w:fill="FFFFFF"/>
            <w:tcMar>
              <w:top w:w="15" w:type="dxa"/>
              <w:left w:w="15" w:type="dxa"/>
              <w:right w:w="15" w:type="dxa"/>
            </w:tcMar>
            <w:vAlign w:val="center"/>
          </w:tcPr>
          <w:p w14:paraId="023EE390">
            <w:pPr>
              <w:keepNext w:val="0"/>
              <w:keepLines w:val="0"/>
              <w:widowControl/>
              <w:suppressLineNumbers w:val="0"/>
              <w:snapToGrid w:val="0"/>
              <w:jc w:val="center"/>
              <w:textAlignment w:val="center"/>
              <w:rPr>
                <w:rFonts w:hint="eastAsia" w:ascii="宋体" w:hAnsi="宋体" w:eastAsia="宋体" w:cs="宋体"/>
                <w:b/>
                <w:color w:val="000000"/>
                <w:kern w:val="0"/>
                <w:sz w:val="24"/>
                <w:szCs w:val="21"/>
                <w:lang w:bidi="ar"/>
              </w:rPr>
            </w:pPr>
            <w:r>
              <w:rPr>
                <w:rFonts w:hint="eastAsia" w:ascii="宋体" w:hAnsi="宋体" w:eastAsia="宋体" w:cs="宋体"/>
                <w:b/>
                <w:bCs/>
                <w:i w:val="0"/>
                <w:iCs w:val="0"/>
                <w:color w:val="000000"/>
                <w:kern w:val="0"/>
                <w:sz w:val="24"/>
                <w:szCs w:val="24"/>
                <w:u w:val="none"/>
                <w:lang w:val="en-US" w:eastAsia="zh-CN" w:bidi="ar"/>
              </w:rPr>
              <w:t>联系人员及联系电话</w:t>
            </w:r>
          </w:p>
        </w:tc>
        <w:tc>
          <w:tcPr>
            <w:tcW w:w="1754" w:type="dxa"/>
            <w:tcBorders>
              <w:bottom w:val="single" w:color="000000" w:sz="4" w:space="0"/>
            </w:tcBorders>
            <w:shd w:val="clear" w:color="auto" w:fill="FFFFFF"/>
            <w:tcMar>
              <w:top w:w="15" w:type="dxa"/>
              <w:left w:w="15" w:type="dxa"/>
              <w:right w:w="15" w:type="dxa"/>
            </w:tcMar>
            <w:vAlign w:val="center"/>
          </w:tcPr>
          <w:p w14:paraId="7078B8D7">
            <w:pPr>
              <w:keepNext w:val="0"/>
              <w:keepLines w:val="0"/>
              <w:widowControl/>
              <w:suppressLineNumbers w:val="0"/>
              <w:snapToGrid w:val="0"/>
              <w:jc w:val="center"/>
              <w:textAlignment w:val="center"/>
              <w:rPr>
                <w:rFonts w:hint="eastAsia" w:ascii="宋体" w:hAnsi="宋体" w:eastAsia="宋体" w:cs="宋体"/>
                <w:b/>
                <w:color w:val="000000"/>
                <w:sz w:val="24"/>
                <w:szCs w:val="21"/>
              </w:rPr>
            </w:pPr>
            <w:r>
              <w:rPr>
                <w:rFonts w:hint="eastAsia" w:ascii="宋体" w:hAnsi="宋体" w:eastAsia="宋体" w:cs="宋体"/>
                <w:b/>
                <w:bCs/>
                <w:i w:val="0"/>
                <w:iCs w:val="0"/>
                <w:color w:val="000000"/>
                <w:kern w:val="0"/>
                <w:sz w:val="24"/>
                <w:szCs w:val="24"/>
                <w:u w:val="none"/>
                <w:lang w:val="en-US" w:eastAsia="zh-CN" w:bidi="ar"/>
              </w:rPr>
              <w:t>主要入排标准</w:t>
            </w:r>
          </w:p>
        </w:tc>
      </w:tr>
      <w:tr w14:paraId="4A209ECF">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single" w:color="000000" w:sz="4" w:space="0"/>
              <w:tl2br w:val="nil"/>
              <w:tr2bl w:val="nil"/>
            </w:tcBorders>
            <w:shd w:val="clear" w:color="auto" w:fill="FFFFFF"/>
            <w:noWrap/>
            <w:tcMar>
              <w:top w:w="15" w:type="dxa"/>
              <w:left w:w="15" w:type="dxa"/>
              <w:right w:w="15" w:type="dxa"/>
            </w:tcMar>
            <w:vAlign w:val="center"/>
          </w:tcPr>
          <w:p w14:paraId="648B3FB0">
            <w:pPr>
              <w:keepNext w:val="0"/>
              <w:keepLines w:val="0"/>
              <w:widowControl/>
              <w:suppressLineNumbers w:val="0"/>
              <w:jc w:val="center"/>
              <w:textAlignment w:val="center"/>
              <w:rPr>
                <w:rFonts w:hint="default" w:ascii="宋体" w:hAnsi="宋体" w:eastAsia="宋体" w:cs="宋体"/>
                <w:color w:val="000000"/>
                <w:sz w:val="22"/>
                <w:szCs w:val="22"/>
                <w:lang w:val="en-US"/>
              </w:rPr>
            </w:pPr>
            <w:r>
              <w:rPr>
                <w:rFonts w:hint="eastAsia" w:ascii="宋体" w:hAnsi="宋体" w:eastAsia="宋体" w:cs="宋体"/>
                <w:i w:val="0"/>
                <w:iCs w:val="0"/>
                <w:color w:val="000000"/>
                <w:kern w:val="0"/>
                <w:sz w:val="22"/>
                <w:szCs w:val="22"/>
                <w:u w:val="none"/>
                <w:lang w:val="en-US" w:eastAsia="zh-CN" w:bidi="ar"/>
              </w:rPr>
              <w:t>1</w:t>
            </w:r>
          </w:p>
        </w:tc>
        <w:tc>
          <w:tcPr>
            <w:tcW w:w="5582" w:type="dxa"/>
            <w:tcBorders>
              <w:top w:val="single" w:color="000000" w:sz="4" w:space="0"/>
              <w:tl2br w:val="nil"/>
              <w:tr2bl w:val="nil"/>
            </w:tcBorders>
            <w:shd w:val="clear" w:color="auto" w:fill="FFFFFF"/>
            <w:tcMar>
              <w:top w:w="15" w:type="dxa"/>
              <w:left w:w="15" w:type="dxa"/>
              <w:right w:w="15" w:type="dxa"/>
            </w:tcMar>
            <w:vAlign w:val="center"/>
          </w:tcPr>
          <w:p w14:paraId="0803CC45">
            <w:pPr>
              <w:keepNext w:val="0"/>
              <w:keepLines w:val="0"/>
              <w:widowControl/>
              <w:suppressLineNumbers w:val="0"/>
              <w:jc w:val="center"/>
              <w:textAlignment w:val="center"/>
              <w:rPr>
                <w:rFonts w:hint="eastAsia" w:ascii="宋体" w:hAnsi="宋体" w:eastAsia="宋体" w:cs="宋体"/>
                <w:color w:val="000000"/>
                <w:sz w:val="22"/>
                <w:szCs w:val="20"/>
              </w:rPr>
            </w:pPr>
            <w:r>
              <w:rPr>
                <w:rFonts w:hint="eastAsia" w:ascii="宋体" w:hAnsi="宋体" w:eastAsia="宋体" w:cs="宋体"/>
                <w:i w:val="0"/>
                <w:iCs w:val="0"/>
                <w:color w:val="000000"/>
                <w:kern w:val="0"/>
                <w:sz w:val="22"/>
                <w:szCs w:val="22"/>
                <w:u w:val="none"/>
                <w:lang w:val="en-US" w:eastAsia="zh-CN" w:bidi="ar"/>
              </w:rPr>
              <w:t>研究经肝动脉注射替拉扎明后再行肝动脉栓塞（</w:t>
            </w:r>
            <w:r>
              <w:rPr>
                <w:rFonts w:ascii="Arial" w:hAnsi="Arial" w:eastAsia="宋体" w:cs="Arial"/>
                <w:i w:val="0"/>
                <w:iCs w:val="0"/>
                <w:color w:val="000000"/>
                <w:kern w:val="0"/>
                <w:sz w:val="22"/>
                <w:szCs w:val="22"/>
                <w:u w:val="none"/>
                <w:lang w:val="en-US" w:eastAsia="zh-CN" w:bidi="ar"/>
              </w:rPr>
              <w:t>TATE</w:t>
            </w:r>
            <w:r>
              <w:rPr>
                <w:rFonts w:hint="eastAsia" w:ascii="宋体" w:hAnsi="宋体" w:eastAsia="宋体" w:cs="宋体"/>
                <w:i w:val="0"/>
                <w:iCs w:val="0"/>
                <w:color w:val="000000"/>
                <w:kern w:val="0"/>
                <w:sz w:val="22"/>
                <w:szCs w:val="22"/>
                <w:u w:val="none"/>
                <w:lang w:val="en-US" w:eastAsia="zh-CN" w:bidi="ar"/>
              </w:rPr>
              <w:t>）治疗中期原发性肝细胞癌是否优于传统肝动脉化疗栓塞（</w:t>
            </w:r>
            <w:r>
              <w:rPr>
                <w:rFonts w:ascii="Arial" w:hAnsi="Arial" w:eastAsia="宋体" w:cs="Arial"/>
                <w:i w:val="0"/>
                <w:iCs w:val="0"/>
                <w:color w:val="000000"/>
                <w:kern w:val="0"/>
                <w:sz w:val="22"/>
                <w:szCs w:val="22"/>
                <w:u w:val="none"/>
                <w:lang w:val="en-US" w:eastAsia="zh-CN" w:bidi="ar"/>
              </w:rPr>
              <w:t>TACE</w:t>
            </w:r>
            <w:r>
              <w:rPr>
                <w:rFonts w:hint="eastAsia" w:ascii="宋体" w:hAnsi="宋体" w:eastAsia="宋体" w:cs="宋体"/>
                <w:i w:val="0"/>
                <w:iCs w:val="0"/>
                <w:color w:val="000000"/>
                <w:kern w:val="0"/>
                <w:sz w:val="22"/>
                <w:szCs w:val="22"/>
                <w:u w:val="none"/>
                <w:lang w:val="en-US" w:eastAsia="zh-CN" w:bidi="ar"/>
              </w:rPr>
              <w:t>）的多中心、随机、对照、开放的</w:t>
            </w:r>
            <w:r>
              <w:rPr>
                <w:rFonts w:ascii="Arial" w:hAnsi="Arial" w:eastAsia="宋体" w:cs="Arial"/>
                <w:i w:val="0"/>
                <w:iCs w:val="0"/>
                <w:color w:val="000000"/>
                <w:kern w:val="0"/>
                <w:sz w:val="22"/>
                <w:szCs w:val="22"/>
                <w:u w:val="none"/>
                <w:lang w:val="en-US" w:eastAsia="zh-CN" w:bidi="ar"/>
              </w:rPr>
              <w:t>II/III</w:t>
            </w:r>
            <w:r>
              <w:rPr>
                <w:rFonts w:hint="eastAsia" w:ascii="宋体" w:hAnsi="宋体" w:eastAsia="宋体" w:cs="宋体"/>
                <w:i w:val="0"/>
                <w:iCs w:val="0"/>
                <w:color w:val="000000"/>
                <w:kern w:val="0"/>
                <w:sz w:val="22"/>
                <w:szCs w:val="22"/>
                <w:u w:val="none"/>
                <w:lang w:val="en-US" w:eastAsia="zh-CN" w:bidi="ar"/>
              </w:rPr>
              <w:t>期临床试验</w:t>
            </w:r>
          </w:p>
        </w:tc>
        <w:tc>
          <w:tcPr>
            <w:tcW w:w="3405" w:type="dxa"/>
            <w:tcBorders>
              <w:top w:val="single" w:color="000000" w:sz="4" w:space="0"/>
              <w:tl2br w:val="nil"/>
              <w:tr2bl w:val="nil"/>
            </w:tcBorders>
            <w:shd w:val="clear" w:color="auto" w:fill="FFFFFF"/>
            <w:tcMar>
              <w:top w:w="15" w:type="dxa"/>
              <w:left w:w="15" w:type="dxa"/>
              <w:right w:w="15" w:type="dxa"/>
            </w:tcMar>
            <w:vAlign w:val="center"/>
          </w:tcPr>
          <w:p w14:paraId="43498C0D">
            <w:pPr>
              <w:keepNext w:val="0"/>
              <w:keepLines w:val="0"/>
              <w:widowControl/>
              <w:suppressLineNumbers w:val="0"/>
              <w:jc w:val="center"/>
              <w:textAlignment w:val="center"/>
              <w:rPr>
                <w:rFonts w:hint="eastAsia" w:ascii="宋体" w:hAnsi="宋体" w:eastAsia="宋体" w:cs="宋体"/>
                <w:color w:val="000000"/>
                <w:sz w:val="22"/>
                <w:szCs w:val="20"/>
              </w:rPr>
            </w:pPr>
            <w:r>
              <w:rPr>
                <w:rFonts w:hint="eastAsia" w:ascii="宋体" w:hAnsi="宋体" w:eastAsia="宋体" w:cs="宋体"/>
                <w:i w:val="0"/>
                <w:iCs w:val="0"/>
                <w:color w:val="000000"/>
                <w:kern w:val="0"/>
                <w:sz w:val="22"/>
                <w:szCs w:val="22"/>
                <w:u w:val="none"/>
                <w:lang w:val="en-US" w:eastAsia="zh-CN" w:bidi="ar"/>
              </w:rPr>
              <w:t>肝癌</w:t>
            </w:r>
          </w:p>
        </w:tc>
        <w:tc>
          <w:tcPr>
            <w:tcW w:w="1620" w:type="dxa"/>
            <w:tcBorders>
              <w:top w:val="single" w:color="000000" w:sz="4" w:space="0"/>
              <w:tl2br w:val="nil"/>
              <w:tr2bl w:val="nil"/>
            </w:tcBorders>
            <w:shd w:val="clear" w:color="auto" w:fill="FFFFFF"/>
            <w:tcMar>
              <w:top w:w="15" w:type="dxa"/>
              <w:left w:w="15" w:type="dxa"/>
              <w:right w:w="15" w:type="dxa"/>
            </w:tcMar>
            <w:vAlign w:val="center"/>
          </w:tcPr>
          <w:p w14:paraId="0AAF6827">
            <w:pPr>
              <w:keepNext w:val="0"/>
              <w:keepLines w:val="0"/>
              <w:widowControl/>
              <w:suppressLineNumbers w:val="0"/>
              <w:jc w:val="center"/>
              <w:textAlignment w:val="center"/>
              <w:rPr>
                <w:rFonts w:hint="eastAsia" w:ascii="宋体" w:hAnsi="宋体" w:eastAsia="宋体" w:cs="宋体"/>
                <w:color w:val="FF0000"/>
                <w:sz w:val="22"/>
                <w:szCs w:val="20"/>
              </w:rPr>
            </w:pPr>
            <w:r>
              <w:rPr>
                <w:rFonts w:hint="eastAsia" w:ascii="宋体" w:hAnsi="宋体" w:eastAsia="宋体" w:cs="宋体"/>
                <w:i w:val="0"/>
                <w:iCs w:val="0"/>
                <w:color w:val="000000"/>
                <w:kern w:val="0"/>
                <w:sz w:val="22"/>
                <w:szCs w:val="22"/>
                <w:u w:val="none"/>
                <w:lang w:val="en-US" w:eastAsia="zh-CN" w:bidi="ar"/>
              </w:rPr>
              <w:t>微创介入医学科</w:t>
            </w:r>
          </w:p>
        </w:tc>
        <w:tc>
          <w:tcPr>
            <w:tcW w:w="2565" w:type="dxa"/>
            <w:tcBorders>
              <w:top w:val="single" w:color="000000" w:sz="4" w:space="0"/>
              <w:tl2br w:val="nil"/>
              <w:tr2bl w:val="nil"/>
            </w:tcBorders>
            <w:shd w:val="clear" w:color="auto" w:fill="FFFFFF"/>
            <w:tcMar>
              <w:top w:w="15" w:type="dxa"/>
              <w:left w:w="15" w:type="dxa"/>
              <w:right w:w="15" w:type="dxa"/>
            </w:tcMar>
            <w:vAlign w:val="center"/>
          </w:tcPr>
          <w:p w14:paraId="2D18D578">
            <w:pPr>
              <w:keepNext w:val="0"/>
              <w:keepLines w:val="0"/>
              <w:widowControl/>
              <w:suppressLineNumbers w:val="0"/>
              <w:jc w:val="center"/>
              <w:textAlignment w:val="center"/>
              <w:rPr>
                <w:rFonts w:hint="eastAsia" w:ascii="宋体" w:hAnsi="宋体" w:eastAsia="宋体" w:cs="宋体"/>
                <w:color w:val="FF0000"/>
                <w:kern w:val="0"/>
                <w:sz w:val="22"/>
                <w:szCs w:val="20"/>
                <w:lang w:bidi="ar"/>
              </w:rPr>
            </w:pPr>
            <w:r>
              <w:rPr>
                <w:rFonts w:hint="eastAsia" w:ascii="宋体" w:hAnsi="宋体" w:eastAsia="宋体" w:cs="宋体"/>
                <w:i w:val="0"/>
                <w:iCs w:val="0"/>
                <w:color w:val="000000"/>
                <w:kern w:val="0"/>
                <w:sz w:val="22"/>
                <w:szCs w:val="22"/>
                <w:u w:val="none"/>
                <w:lang w:val="en-US" w:eastAsia="zh-CN" w:bidi="ar"/>
              </w:rPr>
              <w:t>丁荣：13759576990</w:t>
            </w:r>
          </w:p>
        </w:tc>
        <w:tc>
          <w:tcPr>
            <w:tcW w:w="1754" w:type="dxa"/>
            <w:tcBorders>
              <w:top w:val="single" w:color="000000" w:sz="4" w:space="0"/>
              <w:tl2br w:val="nil"/>
              <w:tr2bl w:val="nil"/>
            </w:tcBorders>
            <w:shd w:val="clear" w:color="auto" w:fill="FFFFFF"/>
            <w:tcMar>
              <w:top w:w="15" w:type="dxa"/>
              <w:left w:w="15" w:type="dxa"/>
              <w:right w:w="15" w:type="dxa"/>
            </w:tcMar>
            <w:vAlign w:val="center"/>
          </w:tcPr>
          <w:p w14:paraId="73F417D3">
            <w:pPr>
              <w:keepNext w:val="0"/>
              <w:keepLines w:val="0"/>
              <w:widowControl/>
              <w:suppressLineNumbers w:val="0"/>
              <w:snapToGrid w:val="0"/>
              <w:jc w:val="center"/>
              <w:textAlignment w:val="center"/>
              <w:rPr>
                <w:rFonts w:hint="default" w:ascii="宋体" w:hAnsi="宋体" w:eastAsia="宋体" w:cs="宋体"/>
                <w:color w:val="auto"/>
                <w:sz w:val="22"/>
                <w:szCs w:val="20"/>
                <w:u w:val="none"/>
                <w:lang w:val="en-US"/>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"F:\\2025年第二季度临床试验项目入排标准\\25.一项评估AK104联合仑伐替尼和经肝动脉化疗栓塞（TACE）对比TACE用于治疗不可根治、非转移性肝细胞癌的随机对照、双盲、多中心III期临床研究.pdf" </w:instrText>
            </w:r>
            <w:r>
              <w:rPr>
                <w:rFonts w:hint="eastAsia" w:ascii="宋体" w:hAnsi="宋体" w:eastAsia="宋体" w:cs="宋体"/>
                <w:i w:val="0"/>
                <w:iCs w:val="0"/>
                <w:color w:val="auto"/>
                <w:kern w:val="0"/>
                <w:sz w:val="22"/>
                <w:szCs w:val="22"/>
                <w:u w:val="none"/>
                <w:lang w:val="en-US" w:eastAsia="zh-CN" w:bidi="ar"/>
              </w:rPr>
              <w:fldChar w:fldCharType="separate"/>
            </w:r>
            <w:r>
              <w:rPr>
                <w:rStyle w:val="6"/>
                <w:rFonts w:hint="eastAsia" w:ascii="宋体" w:hAnsi="宋体" w:eastAsia="宋体" w:cs="宋体"/>
                <w:i w:val="0"/>
                <w:iCs w:val="0"/>
                <w:color w:val="auto"/>
                <w:kern w:val="0"/>
                <w:sz w:val="22"/>
                <w:szCs w:val="22"/>
                <w:u w:val="none"/>
                <w:lang w:val="en-US" w:eastAsia="zh-CN" w:bidi="ar"/>
              </w:rPr>
              <w:t>详见招募广告</w:t>
            </w:r>
            <w:r>
              <w:rPr>
                <w:rFonts w:hint="eastAsia" w:ascii="宋体" w:hAnsi="宋体" w:eastAsia="宋体" w:cs="宋体"/>
                <w:i w:val="0"/>
                <w:iCs w:val="0"/>
                <w:color w:val="auto"/>
                <w:kern w:val="0"/>
                <w:sz w:val="22"/>
                <w:szCs w:val="22"/>
                <w:u w:val="none"/>
                <w:lang w:val="en-US" w:eastAsia="zh-CN" w:bidi="ar"/>
              </w:rPr>
              <w:fldChar w:fldCharType="end"/>
            </w:r>
            <w:r>
              <w:rPr>
                <w:rFonts w:hint="eastAsia" w:ascii="宋体" w:hAnsi="宋体" w:eastAsia="宋体" w:cs="宋体"/>
                <w:i w:val="0"/>
                <w:iCs w:val="0"/>
                <w:color w:val="auto"/>
                <w:kern w:val="0"/>
                <w:sz w:val="22"/>
                <w:szCs w:val="22"/>
                <w:u w:val="none"/>
                <w:lang w:val="en-US" w:eastAsia="zh-CN" w:bidi="ar"/>
              </w:rPr>
              <w:t>39</w:t>
            </w:r>
          </w:p>
        </w:tc>
      </w:tr>
      <w:tr w14:paraId="39575B78">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l2br w:val="nil"/>
              <w:tr2bl w:val="nil"/>
            </w:tcBorders>
            <w:shd w:val="clear" w:color="auto" w:fill="FFFFFF"/>
            <w:noWrap/>
            <w:tcMar>
              <w:top w:w="15" w:type="dxa"/>
              <w:left w:w="15" w:type="dxa"/>
              <w:right w:w="15" w:type="dxa"/>
            </w:tcMar>
            <w:vAlign w:val="center"/>
          </w:tcPr>
          <w:p w14:paraId="384EB190">
            <w:pPr>
              <w:keepNext w:val="0"/>
              <w:keepLines w:val="0"/>
              <w:widowControl/>
              <w:suppressLineNumbers w:val="0"/>
              <w:jc w:val="center"/>
              <w:textAlignment w:val="center"/>
              <w:rPr>
                <w:rFonts w:hint="default" w:ascii="宋体" w:hAnsi="宋体" w:eastAsia="宋体" w:cs="宋体"/>
                <w:color w:val="000000"/>
                <w:kern w:val="0"/>
                <w:sz w:val="22"/>
                <w:szCs w:val="20"/>
                <w:lang w:val="en-US" w:bidi="ar"/>
              </w:rPr>
            </w:pPr>
            <w:r>
              <w:rPr>
                <w:rFonts w:hint="eastAsia" w:ascii="宋体" w:hAnsi="宋体" w:eastAsia="宋体" w:cs="宋体"/>
                <w:i w:val="0"/>
                <w:iCs w:val="0"/>
                <w:color w:val="000000"/>
                <w:kern w:val="0"/>
                <w:sz w:val="22"/>
                <w:szCs w:val="22"/>
                <w:u w:val="none"/>
                <w:lang w:val="en-US" w:eastAsia="zh-CN" w:bidi="ar"/>
              </w:rPr>
              <w:t>2</w:t>
            </w:r>
          </w:p>
        </w:tc>
        <w:tc>
          <w:tcPr>
            <w:tcW w:w="5582" w:type="dxa"/>
            <w:tcBorders>
              <w:tl2br w:val="nil"/>
              <w:tr2bl w:val="nil"/>
            </w:tcBorders>
            <w:shd w:val="clear" w:color="auto" w:fill="FFFFFF"/>
            <w:tcMar>
              <w:top w:w="15" w:type="dxa"/>
              <w:left w:w="15" w:type="dxa"/>
              <w:right w:w="15" w:type="dxa"/>
            </w:tcMar>
            <w:vAlign w:val="center"/>
          </w:tcPr>
          <w:p w14:paraId="278144D3">
            <w:pPr>
              <w:keepNext w:val="0"/>
              <w:keepLines w:val="0"/>
              <w:widowControl/>
              <w:suppressLineNumbers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抗</w:t>
            </w:r>
            <w:r>
              <w:rPr>
                <w:rFonts w:ascii="Arial" w:hAnsi="Arial" w:eastAsia="宋体" w:cs="Arial"/>
                <w:i w:val="0"/>
                <w:iCs w:val="0"/>
                <w:color w:val="000000"/>
                <w:kern w:val="0"/>
                <w:sz w:val="22"/>
                <w:szCs w:val="22"/>
                <w:u w:val="none"/>
                <w:lang w:val="en-US" w:eastAsia="zh-CN" w:bidi="ar"/>
              </w:rPr>
              <w:t>CTLA-4</w:t>
            </w:r>
            <w:r>
              <w:rPr>
                <w:rFonts w:hint="eastAsia" w:ascii="宋体" w:hAnsi="宋体" w:eastAsia="宋体" w:cs="宋体"/>
                <w:i w:val="0"/>
                <w:iCs w:val="0"/>
                <w:color w:val="000000"/>
                <w:kern w:val="0"/>
                <w:sz w:val="22"/>
                <w:szCs w:val="22"/>
                <w:u w:val="none"/>
                <w:lang w:val="en-US" w:eastAsia="zh-CN" w:bidi="ar"/>
              </w:rPr>
              <w:t>抗体</w:t>
            </w:r>
            <w:r>
              <w:rPr>
                <w:rFonts w:ascii="Arial" w:hAnsi="Arial" w:eastAsia="宋体" w:cs="Arial"/>
                <w:i w:val="0"/>
                <w:iCs w:val="0"/>
                <w:color w:val="000000"/>
                <w:kern w:val="0"/>
                <w:sz w:val="22"/>
                <w:szCs w:val="22"/>
                <w:u w:val="none"/>
                <w:lang w:val="en-US" w:eastAsia="zh-CN" w:bidi="ar"/>
              </w:rPr>
              <w:t>SHR-8068</w:t>
            </w:r>
            <w:r>
              <w:rPr>
                <w:rFonts w:hint="eastAsia" w:ascii="宋体" w:hAnsi="宋体" w:eastAsia="宋体" w:cs="宋体"/>
                <w:i w:val="0"/>
                <w:iCs w:val="0"/>
                <w:color w:val="000000"/>
                <w:kern w:val="0"/>
                <w:sz w:val="22"/>
                <w:szCs w:val="22"/>
                <w:u w:val="none"/>
                <w:lang w:val="en-US" w:eastAsia="zh-CN" w:bidi="ar"/>
              </w:rPr>
              <w:t>联合阿得贝利单抗和贝伐珠单抗对比信迪利单抗联合贝伐珠单抗一线治疗晚期肝细胞癌（</w:t>
            </w:r>
            <w:r>
              <w:rPr>
                <w:rFonts w:ascii="Arial" w:hAnsi="Arial" w:eastAsia="宋体" w:cs="Arial"/>
                <w:i w:val="0"/>
                <w:iCs w:val="0"/>
                <w:color w:val="000000"/>
                <w:kern w:val="0"/>
                <w:sz w:val="22"/>
                <w:szCs w:val="22"/>
                <w:u w:val="none"/>
                <w:lang w:val="en-US" w:eastAsia="zh-CN" w:bidi="ar"/>
              </w:rPr>
              <w:t>HCC</w:t>
            </w:r>
            <w:r>
              <w:rPr>
                <w:rFonts w:hint="eastAsia" w:ascii="宋体" w:hAnsi="宋体" w:eastAsia="宋体" w:cs="宋体"/>
                <w:i w:val="0"/>
                <w:iCs w:val="0"/>
                <w:color w:val="000000"/>
                <w:kern w:val="0"/>
                <w:sz w:val="22"/>
                <w:szCs w:val="22"/>
                <w:u w:val="none"/>
                <w:lang w:val="en-US" w:eastAsia="zh-CN" w:bidi="ar"/>
              </w:rPr>
              <w:t>）的随机、对照、开放、多中心</w:t>
            </w:r>
            <w:r>
              <w:rPr>
                <w:rStyle w:val="9"/>
                <w:lang w:val="en-US" w:eastAsia="zh-CN" w:bidi="ar"/>
              </w:rPr>
              <w:t>Ⅲ</w:t>
            </w:r>
            <w:r>
              <w:rPr>
                <w:rFonts w:hint="eastAsia" w:ascii="宋体" w:hAnsi="宋体" w:eastAsia="宋体" w:cs="宋体"/>
                <w:i w:val="0"/>
                <w:iCs w:val="0"/>
                <w:color w:val="000000"/>
                <w:kern w:val="0"/>
                <w:sz w:val="22"/>
                <w:szCs w:val="22"/>
                <w:u w:val="none"/>
                <w:lang w:val="en-US" w:eastAsia="zh-CN" w:bidi="ar"/>
              </w:rPr>
              <w:t>期临床研究</w:t>
            </w:r>
          </w:p>
        </w:tc>
        <w:tc>
          <w:tcPr>
            <w:tcW w:w="3405" w:type="dxa"/>
            <w:tcBorders>
              <w:tl2br w:val="nil"/>
              <w:tr2bl w:val="nil"/>
            </w:tcBorders>
            <w:shd w:val="clear" w:color="auto" w:fill="FFFFFF"/>
            <w:tcMar>
              <w:top w:w="15" w:type="dxa"/>
              <w:left w:w="15" w:type="dxa"/>
              <w:right w:w="15" w:type="dxa"/>
            </w:tcMar>
            <w:vAlign w:val="center"/>
          </w:tcPr>
          <w:p w14:paraId="1970DA0E">
            <w:pPr>
              <w:keepNext w:val="0"/>
              <w:keepLines w:val="0"/>
              <w:widowControl/>
              <w:suppressLineNumbers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晚期肝细胞癌（</w:t>
            </w:r>
            <w:r>
              <w:rPr>
                <w:rFonts w:ascii="Arial" w:hAnsi="Arial" w:eastAsia="宋体" w:cs="Arial"/>
                <w:i w:val="0"/>
                <w:iCs w:val="0"/>
                <w:color w:val="000000"/>
                <w:kern w:val="0"/>
                <w:sz w:val="22"/>
                <w:szCs w:val="22"/>
                <w:u w:val="none"/>
                <w:lang w:val="en-US" w:eastAsia="zh-CN" w:bidi="ar"/>
              </w:rPr>
              <w:t>HCC</w:t>
            </w:r>
            <w:r>
              <w:rPr>
                <w:rFonts w:hint="eastAsia" w:ascii="宋体" w:hAnsi="宋体" w:eastAsia="宋体" w:cs="宋体"/>
                <w:i w:val="0"/>
                <w:iCs w:val="0"/>
                <w:color w:val="000000"/>
                <w:kern w:val="0"/>
                <w:sz w:val="22"/>
                <w:szCs w:val="22"/>
                <w:u w:val="none"/>
                <w:lang w:val="en-US" w:eastAsia="zh-CN" w:bidi="ar"/>
              </w:rPr>
              <w:t>）</w:t>
            </w:r>
          </w:p>
        </w:tc>
        <w:tc>
          <w:tcPr>
            <w:tcW w:w="1620" w:type="dxa"/>
            <w:tcBorders>
              <w:tl2br w:val="nil"/>
              <w:tr2bl w:val="nil"/>
            </w:tcBorders>
            <w:shd w:val="clear" w:color="auto" w:fill="FFFFFF"/>
            <w:tcMar>
              <w:top w:w="15" w:type="dxa"/>
              <w:left w:w="15" w:type="dxa"/>
              <w:right w:w="15" w:type="dxa"/>
            </w:tcMar>
            <w:vAlign w:val="center"/>
          </w:tcPr>
          <w:p w14:paraId="751E662E">
            <w:pPr>
              <w:keepNext w:val="0"/>
              <w:keepLines w:val="0"/>
              <w:widowControl/>
              <w:suppressLineNumbers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肝胆胰外科</w:t>
            </w:r>
          </w:p>
        </w:tc>
        <w:tc>
          <w:tcPr>
            <w:tcW w:w="2565" w:type="dxa"/>
            <w:tcBorders>
              <w:tl2br w:val="nil"/>
              <w:tr2bl w:val="nil"/>
            </w:tcBorders>
            <w:shd w:val="clear" w:color="auto" w:fill="FFFFFF"/>
            <w:tcMar>
              <w:top w:w="15" w:type="dxa"/>
              <w:left w:w="15" w:type="dxa"/>
              <w:right w:w="15" w:type="dxa"/>
            </w:tcMar>
            <w:vAlign w:val="center"/>
          </w:tcPr>
          <w:p w14:paraId="79CEECE2">
            <w:pPr>
              <w:keepNext w:val="0"/>
              <w:keepLines w:val="0"/>
              <w:widowControl/>
              <w:suppressLineNumbers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余廷东：15912123625</w:t>
            </w:r>
          </w:p>
        </w:tc>
        <w:tc>
          <w:tcPr>
            <w:tcW w:w="1754" w:type="dxa"/>
            <w:tcBorders>
              <w:tl2br w:val="nil"/>
              <w:tr2bl w:val="nil"/>
            </w:tcBorders>
            <w:shd w:val="clear" w:color="auto" w:fill="FFFFFF"/>
            <w:tcMar>
              <w:top w:w="15" w:type="dxa"/>
              <w:left w:w="15" w:type="dxa"/>
              <w:right w:w="15" w:type="dxa"/>
            </w:tcMar>
            <w:vAlign w:val="center"/>
          </w:tcPr>
          <w:p w14:paraId="2EAE478B">
            <w:pPr>
              <w:keepNext w:val="0"/>
              <w:keepLines w:val="0"/>
              <w:widowControl/>
              <w:suppressLineNumbers w:val="0"/>
              <w:snapToGrid w:val="0"/>
              <w:jc w:val="center"/>
              <w:textAlignment w:val="center"/>
              <w:rPr>
                <w:rFonts w:hint="default" w:ascii="宋体" w:hAnsi="宋体" w:eastAsia="宋体" w:cs="宋体"/>
                <w:color w:val="auto"/>
                <w:kern w:val="0"/>
                <w:sz w:val="22"/>
                <w:szCs w:val="20"/>
                <w:u w:val="none"/>
                <w:lang w:val="en-US" w:bidi="ar"/>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"F:\\2025年第二季度临床试验项目入排标准\\26.一项评估注射用QLF31907（PD-L14-1BB双特异性抗体）联合治疗晚期恶性肿瘤的安全性和有效性的Ib或II期临床研究.pdf" </w:instrText>
            </w:r>
            <w:r>
              <w:rPr>
                <w:rFonts w:hint="eastAsia" w:ascii="宋体" w:hAnsi="宋体" w:eastAsia="宋体" w:cs="宋体"/>
                <w:i w:val="0"/>
                <w:iCs w:val="0"/>
                <w:color w:val="auto"/>
                <w:kern w:val="0"/>
                <w:sz w:val="22"/>
                <w:szCs w:val="22"/>
                <w:u w:val="none"/>
                <w:lang w:val="en-US" w:eastAsia="zh-CN" w:bidi="ar"/>
              </w:rPr>
              <w:fldChar w:fldCharType="separate"/>
            </w:r>
            <w:r>
              <w:rPr>
                <w:rStyle w:val="6"/>
                <w:rFonts w:hint="eastAsia" w:ascii="宋体" w:hAnsi="宋体" w:eastAsia="宋体" w:cs="宋体"/>
                <w:i w:val="0"/>
                <w:iCs w:val="0"/>
                <w:color w:val="auto"/>
                <w:kern w:val="0"/>
                <w:sz w:val="22"/>
                <w:szCs w:val="22"/>
                <w:u w:val="none"/>
                <w:lang w:val="en-US" w:eastAsia="zh-CN" w:bidi="ar"/>
              </w:rPr>
              <w:t>详见招募广告</w:t>
            </w:r>
            <w:r>
              <w:rPr>
                <w:rFonts w:hint="eastAsia" w:ascii="宋体" w:hAnsi="宋体" w:eastAsia="宋体" w:cs="宋体"/>
                <w:i w:val="0"/>
                <w:iCs w:val="0"/>
                <w:color w:val="auto"/>
                <w:kern w:val="0"/>
                <w:sz w:val="22"/>
                <w:szCs w:val="22"/>
                <w:u w:val="none"/>
                <w:lang w:val="en-US" w:eastAsia="zh-CN" w:bidi="ar"/>
              </w:rPr>
              <w:fldChar w:fldCharType="end"/>
            </w:r>
            <w:r>
              <w:rPr>
                <w:rFonts w:hint="eastAsia" w:ascii="宋体" w:hAnsi="宋体" w:eastAsia="宋体" w:cs="宋体"/>
                <w:i w:val="0"/>
                <w:iCs w:val="0"/>
                <w:color w:val="auto"/>
                <w:kern w:val="0"/>
                <w:sz w:val="22"/>
                <w:szCs w:val="22"/>
                <w:u w:val="none"/>
                <w:lang w:val="en-US" w:eastAsia="zh-CN" w:bidi="ar"/>
              </w:rPr>
              <w:t>40</w:t>
            </w:r>
          </w:p>
        </w:tc>
      </w:tr>
      <w:tr w14:paraId="24705A9D">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l2br w:val="nil"/>
              <w:tr2bl w:val="nil"/>
            </w:tcBorders>
            <w:shd w:val="clear" w:color="auto" w:fill="FFFFFF"/>
            <w:noWrap/>
            <w:tcMar>
              <w:top w:w="15" w:type="dxa"/>
              <w:left w:w="15" w:type="dxa"/>
              <w:right w:w="15" w:type="dxa"/>
            </w:tcMar>
            <w:vAlign w:val="center"/>
          </w:tcPr>
          <w:p w14:paraId="0C65EA45">
            <w:pPr>
              <w:keepNext w:val="0"/>
              <w:keepLines w:val="0"/>
              <w:widowControl/>
              <w:suppressLineNumbers w:val="0"/>
              <w:jc w:val="center"/>
              <w:textAlignment w:val="center"/>
              <w:rPr>
                <w:rFonts w:hint="default" w:ascii="宋体" w:hAnsi="宋体" w:eastAsia="宋体" w:cs="宋体"/>
                <w:color w:val="000000"/>
                <w:kern w:val="0"/>
                <w:sz w:val="22"/>
                <w:szCs w:val="20"/>
                <w:lang w:val="en-US" w:bidi="ar"/>
              </w:rPr>
            </w:pPr>
            <w:r>
              <w:rPr>
                <w:rFonts w:hint="eastAsia" w:ascii="宋体" w:hAnsi="宋体" w:eastAsia="宋体" w:cs="宋体"/>
                <w:i w:val="0"/>
                <w:iCs w:val="0"/>
                <w:color w:val="000000"/>
                <w:kern w:val="0"/>
                <w:sz w:val="22"/>
                <w:szCs w:val="22"/>
                <w:u w:val="none"/>
                <w:lang w:val="en-US" w:eastAsia="zh-CN" w:bidi="ar"/>
              </w:rPr>
              <w:t>3</w:t>
            </w:r>
          </w:p>
        </w:tc>
        <w:tc>
          <w:tcPr>
            <w:tcW w:w="5582" w:type="dxa"/>
            <w:tcBorders>
              <w:tl2br w:val="nil"/>
              <w:tr2bl w:val="nil"/>
            </w:tcBorders>
            <w:shd w:val="clear" w:color="auto" w:fill="FFFFFF"/>
            <w:tcMar>
              <w:top w:w="15" w:type="dxa"/>
              <w:left w:w="15" w:type="dxa"/>
              <w:right w:w="15" w:type="dxa"/>
            </w:tcMar>
            <w:vAlign w:val="center"/>
          </w:tcPr>
          <w:p w14:paraId="27F360C7">
            <w:pPr>
              <w:keepNext w:val="0"/>
              <w:keepLines w:val="0"/>
              <w:widowControl/>
              <w:suppressLineNumbers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ZG005联合贝伐珠单抗对照信迪利单抗联合贝伐珠单抗用于晚期肝细胞癌一线治疗的多中心、随机、开放的II期临床研究</w:t>
            </w:r>
          </w:p>
        </w:tc>
        <w:tc>
          <w:tcPr>
            <w:tcW w:w="3405" w:type="dxa"/>
            <w:tcBorders>
              <w:tl2br w:val="nil"/>
              <w:tr2bl w:val="nil"/>
            </w:tcBorders>
            <w:shd w:val="clear" w:color="auto" w:fill="FFFFFF"/>
            <w:tcMar>
              <w:top w:w="15" w:type="dxa"/>
              <w:left w:w="15" w:type="dxa"/>
              <w:right w:w="15" w:type="dxa"/>
            </w:tcMar>
            <w:vAlign w:val="center"/>
          </w:tcPr>
          <w:p w14:paraId="378D8974">
            <w:pPr>
              <w:keepNext w:val="0"/>
              <w:keepLines w:val="0"/>
              <w:widowControl/>
              <w:suppressLineNumbers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晚期肝细胞癌一线治疗</w:t>
            </w:r>
          </w:p>
        </w:tc>
        <w:tc>
          <w:tcPr>
            <w:tcW w:w="1620" w:type="dxa"/>
            <w:tcBorders>
              <w:tl2br w:val="nil"/>
              <w:tr2bl w:val="nil"/>
            </w:tcBorders>
            <w:shd w:val="clear" w:color="auto" w:fill="FFFFFF"/>
            <w:tcMar>
              <w:top w:w="15" w:type="dxa"/>
              <w:left w:w="15" w:type="dxa"/>
              <w:right w:w="15" w:type="dxa"/>
            </w:tcMar>
            <w:vAlign w:val="center"/>
          </w:tcPr>
          <w:p w14:paraId="2561D3D2">
            <w:pPr>
              <w:keepNext w:val="0"/>
              <w:keepLines w:val="0"/>
              <w:widowControl/>
              <w:suppressLineNumbers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肝胆胰外科</w:t>
            </w:r>
          </w:p>
        </w:tc>
        <w:tc>
          <w:tcPr>
            <w:tcW w:w="2565" w:type="dxa"/>
            <w:tcBorders>
              <w:tl2br w:val="nil"/>
              <w:tr2bl w:val="nil"/>
            </w:tcBorders>
            <w:shd w:val="clear" w:color="auto" w:fill="FFFFFF"/>
            <w:tcMar>
              <w:top w:w="15" w:type="dxa"/>
              <w:left w:w="15" w:type="dxa"/>
              <w:right w:w="15" w:type="dxa"/>
            </w:tcMar>
            <w:vAlign w:val="center"/>
          </w:tcPr>
          <w:p w14:paraId="577AA06B">
            <w:pPr>
              <w:keepNext w:val="0"/>
              <w:keepLines w:val="0"/>
              <w:widowControl/>
              <w:suppressLineNumbers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余廷东：15912123625</w:t>
            </w:r>
          </w:p>
        </w:tc>
        <w:tc>
          <w:tcPr>
            <w:tcW w:w="1754" w:type="dxa"/>
            <w:tcBorders>
              <w:tl2br w:val="nil"/>
              <w:tr2bl w:val="nil"/>
            </w:tcBorders>
            <w:shd w:val="clear" w:color="auto" w:fill="FFFFFF"/>
            <w:tcMar>
              <w:top w:w="15" w:type="dxa"/>
              <w:left w:w="15" w:type="dxa"/>
              <w:right w:w="15" w:type="dxa"/>
            </w:tcMar>
            <w:vAlign w:val="center"/>
          </w:tcPr>
          <w:p w14:paraId="4BF153B9">
            <w:pPr>
              <w:keepNext w:val="0"/>
              <w:keepLines w:val="0"/>
              <w:widowControl/>
              <w:suppressLineNumbers w:val="0"/>
              <w:snapToGrid w:val="0"/>
              <w:jc w:val="center"/>
              <w:textAlignment w:val="center"/>
              <w:rPr>
                <w:rFonts w:hint="default" w:ascii="宋体" w:hAnsi="宋体" w:eastAsia="宋体" w:cs="宋体"/>
                <w:color w:val="auto"/>
                <w:kern w:val="0"/>
                <w:sz w:val="22"/>
                <w:szCs w:val="20"/>
                <w:u w:val="none"/>
                <w:lang w:val="en-US" w:bidi="ar"/>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"F:\\2025年第二季度临床试验项目入排标准\\27.一项评估XNW28012治疗晚期实体瘤患者的安全性、耐受性、药代动力学和初步抗肿瘤活性的开放性、多中心、I或II期临床研究.pdf" </w:instrText>
            </w:r>
            <w:r>
              <w:rPr>
                <w:rFonts w:hint="eastAsia" w:ascii="宋体" w:hAnsi="宋体" w:eastAsia="宋体" w:cs="宋体"/>
                <w:i w:val="0"/>
                <w:iCs w:val="0"/>
                <w:color w:val="auto"/>
                <w:kern w:val="0"/>
                <w:sz w:val="22"/>
                <w:szCs w:val="22"/>
                <w:u w:val="none"/>
                <w:lang w:val="en-US" w:eastAsia="zh-CN" w:bidi="ar"/>
              </w:rPr>
              <w:fldChar w:fldCharType="separate"/>
            </w:r>
            <w:r>
              <w:rPr>
                <w:rStyle w:val="6"/>
                <w:rFonts w:hint="eastAsia" w:ascii="宋体" w:hAnsi="宋体" w:eastAsia="宋体" w:cs="宋体"/>
                <w:i w:val="0"/>
                <w:iCs w:val="0"/>
                <w:color w:val="auto"/>
                <w:kern w:val="0"/>
                <w:sz w:val="22"/>
                <w:szCs w:val="22"/>
                <w:u w:val="none"/>
                <w:lang w:val="en-US" w:eastAsia="zh-CN" w:bidi="ar"/>
              </w:rPr>
              <w:t>详见招募广告</w:t>
            </w:r>
            <w:r>
              <w:rPr>
                <w:rFonts w:hint="eastAsia" w:ascii="宋体" w:hAnsi="宋体" w:eastAsia="宋体" w:cs="宋体"/>
                <w:i w:val="0"/>
                <w:iCs w:val="0"/>
                <w:color w:val="auto"/>
                <w:kern w:val="0"/>
                <w:sz w:val="22"/>
                <w:szCs w:val="22"/>
                <w:u w:val="none"/>
                <w:lang w:val="en-US" w:eastAsia="zh-CN" w:bidi="ar"/>
              </w:rPr>
              <w:fldChar w:fldCharType="end"/>
            </w:r>
            <w:r>
              <w:rPr>
                <w:rFonts w:hint="eastAsia" w:ascii="宋体" w:hAnsi="宋体" w:eastAsia="宋体" w:cs="宋体"/>
                <w:i w:val="0"/>
                <w:iCs w:val="0"/>
                <w:color w:val="auto"/>
                <w:kern w:val="0"/>
                <w:sz w:val="22"/>
                <w:szCs w:val="22"/>
                <w:u w:val="none"/>
                <w:lang w:val="en-US" w:eastAsia="zh-CN" w:bidi="ar"/>
              </w:rPr>
              <w:t>41</w:t>
            </w:r>
          </w:p>
        </w:tc>
      </w:tr>
      <w:tr w14:paraId="0BA84579">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l2br w:val="nil"/>
              <w:tr2bl w:val="nil"/>
            </w:tcBorders>
            <w:shd w:val="clear" w:color="auto" w:fill="FFFFFF"/>
            <w:noWrap/>
            <w:tcMar>
              <w:top w:w="15" w:type="dxa"/>
              <w:left w:w="15" w:type="dxa"/>
              <w:right w:w="15" w:type="dxa"/>
            </w:tcMar>
            <w:vAlign w:val="center"/>
          </w:tcPr>
          <w:p w14:paraId="5F39C4D6">
            <w:pPr>
              <w:keepNext w:val="0"/>
              <w:keepLines w:val="0"/>
              <w:widowControl/>
              <w:suppressLineNumbers w:val="0"/>
              <w:jc w:val="center"/>
              <w:textAlignment w:val="center"/>
              <w:rPr>
                <w:rFonts w:hint="default" w:ascii="宋体" w:hAnsi="宋体" w:eastAsia="宋体" w:cs="宋体"/>
                <w:color w:val="000000"/>
                <w:kern w:val="0"/>
                <w:sz w:val="22"/>
                <w:szCs w:val="20"/>
                <w:lang w:val="en-US" w:bidi="ar"/>
              </w:rPr>
            </w:pPr>
            <w:r>
              <w:rPr>
                <w:rFonts w:hint="eastAsia" w:ascii="宋体" w:hAnsi="宋体" w:eastAsia="宋体" w:cs="宋体"/>
                <w:i w:val="0"/>
                <w:iCs w:val="0"/>
                <w:color w:val="000000"/>
                <w:kern w:val="0"/>
                <w:sz w:val="22"/>
                <w:szCs w:val="22"/>
                <w:u w:val="none"/>
                <w:lang w:val="en-US" w:eastAsia="zh-CN" w:bidi="ar"/>
              </w:rPr>
              <w:t>4</w:t>
            </w:r>
          </w:p>
        </w:tc>
        <w:tc>
          <w:tcPr>
            <w:tcW w:w="5582" w:type="dxa"/>
            <w:tcBorders>
              <w:tl2br w:val="nil"/>
              <w:tr2bl w:val="nil"/>
            </w:tcBorders>
            <w:shd w:val="clear" w:color="auto" w:fill="FFFFFF"/>
            <w:tcMar>
              <w:top w:w="15" w:type="dxa"/>
              <w:left w:w="15" w:type="dxa"/>
              <w:right w:w="15" w:type="dxa"/>
            </w:tcMar>
            <w:vAlign w:val="center"/>
          </w:tcPr>
          <w:p w14:paraId="6981A4B0">
            <w:pPr>
              <w:keepNext w:val="0"/>
              <w:keepLines w:val="0"/>
              <w:widowControl/>
              <w:suppressLineNumbers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一项评估</w:t>
            </w:r>
            <w:r>
              <w:rPr>
                <w:rFonts w:ascii="Arial" w:hAnsi="Arial" w:eastAsia="宋体" w:cs="Arial"/>
                <w:i w:val="0"/>
                <w:iCs w:val="0"/>
                <w:color w:val="000000"/>
                <w:kern w:val="0"/>
                <w:sz w:val="22"/>
                <w:szCs w:val="22"/>
                <w:u w:val="none"/>
                <w:lang w:val="en-US" w:eastAsia="zh-CN" w:bidi="ar"/>
              </w:rPr>
              <w:t>HLX53(</w:t>
            </w:r>
            <w:r>
              <w:rPr>
                <w:rFonts w:hint="eastAsia" w:ascii="宋体" w:hAnsi="宋体" w:eastAsia="宋体" w:cs="宋体"/>
                <w:i w:val="0"/>
                <w:iCs w:val="0"/>
                <w:color w:val="000000"/>
                <w:kern w:val="0"/>
                <w:sz w:val="22"/>
                <w:szCs w:val="22"/>
                <w:u w:val="none"/>
                <w:lang w:val="en-US" w:eastAsia="zh-CN" w:bidi="ar"/>
              </w:rPr>
              <w:t>抗</w:t>
            </w:r>
            <w:r>
              <w:rPr>
                <w:rFonts w:ascii="Arial" w:hAnsi="Arial" w:eastAsia="宋体" w:cs="Arial"/>
                <w:i w:val="0"/>
                <w:iCs w:val="0"/>
                <w:color w:val="000000"/>
                <w:kern w:val="0"/>
                <w:sz w:val="22"/>
                <w:szCs w:val="22"/>
                <w:u w:val="none"/>
                <w:lang w:val="en-US" w:eastAsia="zh-CN" w:bidi="ar"/>
              </w:rPr>
              <w:t>TIGIT</w:t>
            </w:r>
            <w:r>
              <w:rPr>
                <w:rFonts w:hint="eastAsia" w:ascii="宋体" w:hAnsi="宋体" w:eastAsia="宋体" w:cs="宋体"/>
                <w:i w:val="0"/>
                <w:iCs w:val="0"/>
                <w:color w:val="000000"/>
                <w:kern w:val="0"/>
                <w:sz w:val="22"/>
                <w:szCs w:val="22"/>
                <w:u w:val="none"/>
                <w:lang w:val="en-US" w:eastAsia="zh-CN" w:bidi="ar"/>
              </w:rPr>
              <w:t>的</w:t>
            </w:r>
            <w:r>
              <w:rPr>
                <w:rFonts w:ascii="Arial" w:hAnsi="Arial" w:eastAsia="宋体" w:cs="Arial"/>
                <w:i w:val="0"/>
                <w:iCs w:val="0"/>
                <w:color w:val="000000"/>
                <w:kern w:val="0"/>
                <w:sz w:val="22"/>
                <w:szCs w:val="22"/>
                <w:u w:val="none"/>
                <w:lang w:val="en-US" w:eastAsia="zh-CN" w:bidi="ar"/>
              </w:rPr>
              <w:t>Fc</w:t>
            </w:r>
            <w:r>
              <w:rPr>
                <w:rFonts w:hint="eastAsia" w:ascii="宋体" w:hAnsi="宋体" w:eastAsia="宋体" w:cs="宋体"/>
                <w:i w:val="0"/>
                <w:iCs w:val="0"/>
                <w:color w:val="000000"/>
                <w:kern w:val="0"/>
                <w:sz w:val="22"/>
                <w:szCs w:val="22"/>
                <w:u w:val="none"/>
                <w:lang w:val="en-US" w:eastAsia="zh-CN" w:bidi="ar"/>
              </w:rPr>
              <w:t>融合蛋白</w:t>
            </w:r>
            <w:r>
              <w:rPr>
                <w:rFonts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联合斯鲁利单抗注射液</w:t>
            </w:r>
            <w:r>
              <w:rPr>
                <w:rFonts w:ascii="Arial" w:hAnsi="Arial" w:eastAsia="宋体" w:cs="Arial"/>
                <w:i w:val="0"/>
                <w:iCs w:val="0"/>
                <w:color w:val="000000"/>
                <w:kern w:val="0"/>
                <w:sz w:val="22"/>
                <w:szCs w:val="22"/>
                <w:u w:val="none"/>
                <w:lang w:val="en-US" w:eastAsia="zh-CN" w:bidi="ar"/>
              </w:rPr>
              <w:t>(HLX10,</w:t>
            </w:r>
            <w:r>
              <w:rPr>
                <w:rFonts w:hint="eastAsia" w:ascii="宋体" w:hAnsi="宋体" w:eastAsia="宋体" w:cs="宋体"/>
                <w:i w:val="0"/>
                <w:iCs w:val="0"/>
                <w:color w:val="000000"/>
                <w:kern w:val="0"/>
                <w:sz w:val="22"/>
                <w:szCs w:val="22"/>
                <w:u w:val="none"/>
                <w:lang w:val="en-US" w:eastAsia="zh-CN" w:bidi="ar"/>
              </w:rPr>
              <w:t>重组抗</w:t>
            </w:r>
            <w:r>
              <w:rPr>
                <w:rFonts w:ascii="Arial" w:hAnsi="Arial" w:eastAsia="宋体" w:cs="Arial"/>
                <w:i w:val="0"/>
                <w:iCs w:val="0"/>
                <w:color w:val="000000"/>
                <w:kern w:val="0"/>
                <w:sz w:val="22"/>
                <w:szCs w:val="22"/>
                <w:u w:val="none"/>
                <w:lang w:val="en-US" w:eastAsia="zh-CN" w:bidi="ar"/>
              </w:rPr>
              <w:t>PD-1</w:t>
            </w:r>
            <w:r>
              <w:rPr>
                <w:rFonts w:hint="eastAsia" w:ascii="宋体" w:hAnsi="宋体" w:eastAsia="宋体" w:cs="宋体"/>
                <w:i w:val="0"/>
                <w:iCs w:val="0"/>
                <w:color w:val="000000"/>
                <w:kern w:val="0"/>
                <w:sz w:val="22"/>
                <w:szCs w:val="22"/>
                <w:u w:val="none"/>
                <w:lang w:val="en-US" w:eastAsia="zh-CN" w:bidi="ar"/>
              </w:rPr>
              <w:t>抗体</w:t>
            </w:r>
            <w:r>
              <w:rPr>
                <w:rFonts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及</w:t>
            </w:r>
            <w:r>
              <w:rPr>
                <w:rFonts w:ascii="Arial" w:hAnsi="Arial" w:eastAsia="宋体" w:cs="Arial"/>
                <w:i w:val="0"/>
                <w:iCs w:val="0"/>
                <w:color w:val="000000"/>
                <w:kern w:val="0"/>
                <w:sz w:val="22"/>
                <w:szCs w:val="22"/>
                <w:u w:val="none"/>
                <w:lang w:val="en-US" w:eastAsia="zh-CN" w:bidi="ar"/>
              </w:rPr>
              <w:t>HLX04(</w:t>
            </w:r>
            <w:r>
              <w:rPr>
                <w:rFonts w:hint="eastAsia" w:ascii="宋体" w:hAnsi="宋体" w:eastAsia="宋体" w:cs="宋体"/>
                <w:i w:val="0"/>
                <w:iCs w:val="0"/>
                <w:color w:val="000000"/>
                <w:kern w:val="0"/>
                <w:sz w:val="22"/>
                <w:szCs w:val="22"/>
                <w:u w:val="none"/>
                <w:lang w:val="en-US" w:eastAsia="zh-CN" w:bidi="ar"/>
              </w:rPr>
              <w:t>贝伐珠单抗生物类似药</w:t>
            </w:r>
            <w:r>
              <w:rPr>
                <w:rFonts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，对比安慰剂</w:t>
            </w:r>
            <w:r>
              <w:rPr>
                <w:rFonts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斯鲁利单抗</w:t>
            </w:r>
            <w:r>
              <w:rPr>
                <w:rFonts w:ascii="Arial" w:hAnsi="Arial" w:eastAsia="宋体" w:cs="Arial"/>
                <w:i w:val="0"/>
                <w:iCs w:val="0"/>
                <w:color w:val="000000"/>
                <w:kern w:val="0"/>
                <w:sz w:val="22"/>
                <w:szCs w:val="22"/>
                <w:u w:val="none"/>
                <w:lang w:val="en-US" w:eastAsia="zh-CN" w:bidi="ar"/>
              </w:rPr>
              <w:t>+HLX04,</w:t>
            </w:r>
            <w:r>
              <w:rPr>
                <w:rFonts w:hint="eastAsia" w:ascii="宋体" w:hAnsi="宋体" w:eastAsia="宋体" w:cs="宋体"/>
                <w:i w:val="0"/>
                <w:iCs w:val="0"/>
                <w:color w:val="000000"/>
                <w:kern w:val="0"/>
                <w:sz w:val="22"/>
                <w:szCs w:val="22"/>
                <w:u w:val="none"/>
                <w:lang w:val="en-US" w:eastAsia="zh-CN" w:bidi="ar"/>
              </w:rPr>
              <w:t>在未经治疗的局晚期或转移性肝癌患者的有效性、安全性和耐受性的随机、双盲、多中心</w:t>
            </w:r>
            <w:r>
              <w:rPr>
                <w:rFonts w:ascii="Arial" w:hAnsi="Arial" w:eastAsia="宋体" w:cs="Arial"/>
                <w:i w:val="0"/>
                <w:iCs w:val="0"/>
                <w:color w:val="000000"/>
                <w:kern w:val="0"/>
                <w:sz w:val="22"/>
                <w:szCs w:val="22"/>
                <w:u w:val="none"/>
                <w:lang w:val="en-US" w:eastAsia="zh-CN" w:bidi="ar"/>
              </w:rPr>
              <w:t>II</w:t>
            </w:r>
            <w:r>
              <w:rPr>
                <w:rFonts w:hint="eastAsia" w:ascii="宋体" w:hAnsi="宋体" w:eastAsia="宋体" w:cs="宋体"/>
                <w:i w:val="0"/>
                <w:iCs w:val="0"/>
                <w:color w:val="000000"/>
                <w:kern w:val="0"/>
                <w:sz w:val="22"/>
                <w:szCs w:val="22"/>
                <w:u w:val="none"/>
                <w:lang w:val="en-US" w:eastAsia="zh-CN" w:bidi="ar"/>
              </w:rPr>
              <w:t>期临床研究</w:t>
            </w:r>
          </w:p>
        </w:tc>
        <w:tc>
          <w:tcPr>
            <w:tcW w:w="3405" w:type="dxa"/>
            <w:tcBorders>
              <w:tl2br w:val="nil"/>
              <w:tr2bl w:val="nil"/>
            </w:tcBorders>
            <w:shd w:val="clear" w:color="auto" w:fill="FFFFFF"/>
            <w:noWrap/>
            <w:tcMar>
              <w:top w:w="15" w:type="dxa"/>
              <w:left w:w="15" w:type="dxa"/>
              <w:right w:w="15" w:type="dxa"/>
            </w:tcMar>
            <w:vAlign w:val="center"/>
          </w:tcPr>
          <w:p w14:paraId="21ECEEBE">
            <w:pPr>
              <w:keepNext w:val="0"/>
              <w:keepLines w:val="0"/>
              <w:widowControl/>
              <w:suppressLineNumbers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未经治疗的局晚期或转移性肝癌</w:t>
            </w:r>
          </w:p>
        </w:tc>
        <w:tc>
          <w:tcPr>
            <w:tcW w:w="1620" w:type="dxa"/>
            <w:tcBorders>
              <w:tl2br w:val="nil"/>
              <w:tr2bl w:val="nil"/>
            </w:tcBorders>
            <w:shd w:val="clear" w:color="auto" w:fill="FFFFFF"/>
            <w:tcMar>
              <w:top w:w="15" w:type="dxa"/>
              <w:left w:w="15" w:type="dxa"/>
              <w:right w:w="15" w:type="dxa"/>
            </w:tcMar>
            <w:vAlign w:val="center"/>
          </w:tcPr>
          <w:p w14:paraId="28A76390">
            <w:pPr>
              <w:keepNext w:val="0"/>
              <w:keepLines w:val="0"/>
              <w:widowControl/>
              <w:suppressLineNumbers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肝胆胰外科</w:t>
            </w:r>
          </w:p>
        </w:tc>
        <w:tc>
          <w:tcPr>
            <w:tcW w:w="2565" w:type="dxa"/>
            <w:tcBorders>
              <w:tl2br w:val="nil"/>
              <w:tr2bl w:val="nil"/>
            </w:tcBorders>
            <w:shd w:val="clear" w:color="auto" w:fill="FFFFFF"/>
            <w:tcMar>
              <w:top w:w="15" w:type="dxa"/>
              <w:left w:w="15" w:type="dxa"/>
              <w:right w:w="15" w:type="dxa"/>
            </w:tcMar>
            <w:vAlign w:val="center"/>
          </w:tcPr>
          <w:p w14:paraId="7E45EFA0">
            <w:pPr>
              <w:keepNext w:val="0"/>
              <w:keepLines w:val="0"/>
              <w:widowControl/>
              <w:suppressLineNumbers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余廷东：15912123625</w:t>
            </w:r>
          </w:p>
        </w:tc>
        <w:tc>
          <w:tcPr>
            <w:tcW w:w="1754" w:type="dxa"/>
            <w:tcBorders>
              <w:tl2br w:val="nil"/>
              <w:tr2bl w:val="nil"/>
            </w:tcBorders>
            <w:shd w:val="clear" w:color="auto" w:fill="FFFFFF"/>
            <w:tcMar>
              <w:top w:w="15" w:type="dxa"/>
              <w:left w:w="15" w:type="dxa"/>
              <w:right w:w="15" w:type="dxa"/>
            </w:tcMar>
            <w:vAlign w:val="center"/>
          </w:tcPr>
          <w:p w14:paraId="7E67688F">
            <w:pPr>
              <w:keepNext w:val="0"/>
              <w:keepLines w:val="0"/>
              <w:widowControl/>
              <w:suppressLineNumbers w:val="0"/>
              <w:snapToGrid w:val="0"/>
              <w:jc w:val="center"/>
              <w:textAlignment w:val="center"/>
              <w:rPr>
                <w:rFonts w:hint="default" w:ascii="宋体" w:hAnsi="宋体" w:eastAsia="宋体" w:cs="宋体"/>
                <w:color w:val="auto"/>
                <w:kern w:val="0"/>
                <w:sz w:val="22"/>
                <w:szCs w:val="20"/>
                <w:u w:val="none"/>
                <w:lang w:val="en-US" w:bidi="ar"/>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F:\\2025年第二季度临床试验项目入排标准\\28.注射用多西他赛（白蛋白结合型）对比泰索帝®治疗既往一线治疗失败的局部晚期或转移性胃腺癌或胃食管结合部腺癌的多中心、随机、开放、阳性对照III期临床研究.docx" </w:instrText>
            </w:r>
            <w:r>
              <w:rPr>
                <w:rFonts w:hint="eastAsia" w:ascii="宋体" w:hAnsi="宋体" w:eastAsia="宋体" w:cs="宋体"/>
                <w:i w:val="0"/>
                <w:iCs w:val="0"/>
                <w:color w:val="auto"/>
                <w:kern w:val="0"/>
                <w:sz w:val="22"/>
                <w:szCs w:val="22"/>
                <w:u w:val="none"/>
                <w:lang w:val="en-US" w:eastAsia="zh-CN" w:bidi="ar"/>
              </w:rPr>
              <w:fldChar w:fldCharType="separate"/>
            </w:r>
            <w:r>
              <w:rPr>
                <w:rStyle w:val="6"/>
                <w:rFonts w:hint="eastAsia" w:ascii="宋体" w:hAnsi="宋体" w:eastAsia="宋体" w:cs="宋体"/>
                <w:i w:val="0"/>
                <w:iCs w:val="0"/>
                <w:color w:val="auto"/>
                <w:kern w:val="0"/>
                <w:sz w:val="22"/>
                <w:szCs w:val="22"/>
                <w:u w:val="none"/>
                <w:lang w:val="en-US" w:eastAsia="zh-CN" w:bidi="ar"/>
              </w:rPr>
              <w:t>详见招募广告</w:t>
            </w:r>
            <w:r>
              <w:rPr>
                <w:rFonts w:hint="eastAsia" w:ascii="宋体" w:hAnsi="宋体" w:eastAsia="宋体" w:cs="宋体"/>
                <w:i w:val="0"/>
                <w:iCs w:val="0"/>
                <w:color w:val="auto"/>
                <w:kern w:val="0"/>
                <w:sz w:val="22"/>
                <w:szCs w:val="22"/>
                <w:u w:val="none"/>
                <w:lang w:val="en-US" w:eastAsia="zh-CN" w:bidi="ar"/>
              </w:rPr>
              <w:fldChar w:fldCharType="end"/>
            </w:r>
            <w:r>
              <w:rPr>
                <w:rFonts w:hint="eastAsia" w:ascii="宋体" w:hAnsi="宋体" w:eastAsia="宋体" w:cs="宋体"/>
                <w:i w:val="0"/>
                <w:iCs w:val="0"/>
                <w:color w:val="auto"/>
                <w:kern w:val="0"/>
                <w:sz w:val="22"/>
                <w:szCs w:val="22"/>
                <w:u w:val="none"/>
                <w:lang w:val="en-US" w:eastAsia="zh-CN" w:bidi="ar"/>
              </w:rPr>
              <w:t>42</w:t>
            </w:r>
          </w:p>
        </w:tc>
      </w:tr>
    </w:tbl>
    <w:p w14:paraId="4ACF80F9">
      <w:bookmarkStart w:id="0" w:name="_GoBack"/>
      <w:bookmarkEnd w:id="0"/>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C1DA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F21AFB6">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0F21AFB6">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5C7FF5"/>
    <w:rsid w:val="07D337E6"/>
    <w:rsid w:val="24963695"/>
    <w:rsid w:val="32D56907"/>
    <w:rsid w:val="455C7FF5"/>
    <w:rsid w:val="494A394A"/>
    <w:rsid w:val="734C18DA"/>
    <w:rsid w:val="797F4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 w:type="character" w:customStyle="1" w:styleId="7">
    <w:name w:val="font31"/>
    <w:basedOn w:val="5"/>
    <w:qFormat/>
    <w:uiPriority w:val="0"/>
    <w:rPr>
      <w:rFonts w:ascii="Arial" w:hAnsi="Arial" w:cs="Arial"/>
      <w:color w:val="000000"/>
      <w:sz w:val="22"/>
      <w:szCs w:val="22"/>
      <w:u w:val="none"/>
    </w:rPr>
  </w:style>
  <w:style w:type="character" w:customStyle="1" w:styleId="8">
    <w:name w:val="font01"/>
    <w:basedOn w:val="5"/>
    <w:qFormat/>
    <w:uiPriority w:val="0"/>
    <w:rPr>
      <w:rFonts w:hint="eastAsia" w:ascii="宋体" w:hAnsi="宋体" w:eastAsia="宋体" w:cs="宋体"/>
      <w:color w:val="000000"/>
      <w:sz w:val="22"/>
      <w:szCs w:val="22"/>
      <w:u w:val="none"/>
    </w:rPr>
  </w:style>
  <w:style w:type="character" w:customStyle="1" w:styleId="9">
    <w:name w:val="font41"/>
    <w:basedOn w:val="5"/>
    <w:qFormat/>
    <w:uiPriority w:val="0"/>
    <w:rPr>
      <w:rFonts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445</Words>
  <Characters>555</Characters>
  <Lines>0</Lines>
  <Paragraphs>0</Paragraphs>
  <TotalTime>0</TotalTime>
  <ScaleCrop>false</ScaleCrop>
  <LinksUpToDate>false</LinksUpToDate>
  <CharactersWithSpaces>555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2025-10-24T04:12:00Z</dcterms:created>
  <dc:creator>李远丽</dc:creator>
  <cp:lastModifiedBy>李远丽</cp:lastModifiedBy>
  <dcterms:modified xsi:type="dcterms:W3CDTF">2025-10-24T04:57:43Z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5BD89995D76E414E83678D6435723F52_13</vt:lpwstr>
  </property>
  <property fmtid="{D5CDD505-2E9C-101B-9397-08002B2CF9AE}" pid="4" name="KSOTemplateDocerSaveRecord">
    <vt:lpwstr>eyJoZGlkIjoiYmIzMGQ1YzRhY2IwOTVhMDE3ZTdmZjIxOWQzZWQ3YjEiLCJ1c2VySWQiOiIzNzg5Mzk2NDYifQ==</vt:lpwstr>
  </property>
</Properties>
</file>