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F745">
      <w:pPr>
        <w:widowControl/>
        <w:jc w:val="center"/>
        <w:textAlignment w:val="center"/>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2025年第四季度临床试验入组列表-消化道肿瘤</w:t>
      </w:r>
    </w:p>
    <w:p w14:paraId="50C1B6D2">
      <w:pPr>
        <w:widowControl/>
        <w:jc w:val="center"/>
        <w:textAlignment w:val="center"/>
        <w:rPr>
          <w:rFonts w:hint="default" w:ascii="宋体" w:hAnsi="宋体" w:eastAsia="宋体" w:cs="宋体"/>
          <w:b/>
          <w:bCs/>
          <w:color w:val="000000"/>
          <w:sz w:val="18"/>
          <w:szCs w:val="18"/>
          <w:lang w:val="en-US" w:eastAsia="zh-CN"/>
        </w:rPr>
      </w:pPr>
    </w:p>
    <w:tbl>
      <w:tblPr>
        <w:tblStyle w:val="4"/>
        <w:tblW w:w="15614"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88"/>
        <w:gridCol w:w="5582"/>
        <w:gridCol w:w="3765"/>
        <w:gridCol w:w="1590"/>
        <w:gridCol w:w="2235"/>
        <w:gridCol w:w="1754"/>
      </w:tblGrid>
      <w:tr w14:paraId="4ABFF6B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688" w:type="dxa"/>
            <w:tcBorders>
              <w:bottom w:val="single" w:color="000000" w:sz="4" w:space="0"/>
            </w:tcBorders>
            <w:shd w:val="clear" w:color="auto" w:fill="FFFFFF"/>
            <w:noWrap/>
            <w:tcMar>
              <w:top w:w="15" w:type="dxa"/>
              <w:left w:w="15" w:type="dxa"/>
              <w:right w:w="15" w:type="dxa"/>
            </w:tcMar>
            <w:vAlign w:val="center"/>
          </w:tcPr>
          <w:p w14:paraId="25589D7D">
            <w:pPr>
              <w:keepNext w:val="0"/>
              <w:keepLines w:val="0"/>
              <w:widowControl/>
              <w:suppressLineNumbers w:val="0"/>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bCs/>
                <w:i w:val="0"/>
                <w:iCs w:val="0"/>
                <w:color w:val="000000"/>
                <w:kern w:val="0"/>
                <w:sz w:val="24"/>
                <w:szCs w:val="24"/>
                <w:u w:val="none"/>
                <w:lang w:val="en-US" w:eastAsia="zh-CN" w:bidi="ar"/>
              </w:rPr>
              <w:t>序号</w:t>
            </w:r>
          </w:p>
        </w:tc>
        <w:tc>
          <w:tcPr>
            <w:tcW w:w="5582" w:type="dxa"/>
            <w:tcBorders>
              <w:bottom w:val="single" w:color="000000" w:sz="4" w:space="0"/>
            </w:tcBorders>
            <w:shd w:val="clear" w:color="auto" w:fill="FFFFFF"/>
            <w:tcMar>
              <w:top w:w="15" w:type="dxa"/>
              <w:left w:w="15" w:type="dxa"/>
              <w:right w:w="15" w:type="dxa"/>
            </w:tcMar>
            <w:vAlign w:val="center"/>
          </w:tcPr>
          <w:p w14:paraId="2AEF52BE">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项目名称</w:t>
            </w:r>
          </w:p>
        </w:tc>
        <w:tc>
          <w:tcPr>
            <w:tcW w:w="3765" w:type="dxa"/>
            <w:tcBorders>
              <w:bottom w:val="single" w:color="000000" w:sz="4" w:space="0"/>
            </w:tcBorders>
            <w:shd w:val="clear" w:color="auto" w:fill="FFFFFF"/>
            <w:tcMar>
              <w:top w:w="15" w:type="dxa"/>
              <w:left w:w="15" w:type="dxa"/>
              <w:right w:w="15" w:type="dxa"/>
            </w:tcMar>
            <w:vAlign w:val="center"/>
          </w:tcPr>
          <w:p w14:paraId="2BB4C3D3">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适应症</w:t>
            </w:r>
          </w:p>
        </w:tc>
        <w:tc>
          <w:tcPr>
            <w:tcW w:w="1590" w:type="dxa"/>
            <w:tcBorders>
              <w:bottom w:val="single" w:color="000000" w:sz="4" w:space="0"/>
            </w:tcBorders>
            <w:shd w:val="clear" w:color="auto" w:fill="FFFFFF"/>
            <w:tcMar>
              <w:top w:w="15" w:type="dxa"/>
              <w:left w:w="15" w:type="dxa"/>
              <w:right w:w="15" w:type="dxa"/>
            </w:tcMar>
            <w:vAlign w:val="center"/>
          </w:tcPr>
          <w:p w14:paraId="60916873">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研究科室</w:t>
            </w:r>
          </w:p>
        </w:tc>
        <w:tc>
          <w:tcPr>
            <w:tcW w:w="2235" w:type="dxa"/>
            <w:tcBorders>
              <w:bottom w:val="single" w:color="000000" w:sz="4" w:space="0"/>
            </w:tcBorders>
            <w:shd w:val="clear" w:color="auto" w:fill="FFFFFF"/>
            <w:tcMar>
              <w:top w:w="15" w:type="dxa"/>
              <w:left w:w="15" w:type="dxa"/>
              <w:right w:w="15" w:type="dxa"/>
            </w:tcMar>
            <w:vAlign w:val="center"/>
          </w:tcPr>
          <w:p w14:paraId="59801F70">
            <w:pPr>
              <w:keepNext w:val="0"/>
              <w:keepLines w:val="0"/>
              <w:widowControl/>
              <w:suppressLineNumbers w:val="0"/>
              <w:snapToGrid w:val="0"/>
              <w:jc w:val="center"/>
              <w:textAlignment w:val="center"/>
              <w:rPr>
                <w:rFonts w:hint="eastAsia" w:ascii="宋体" w:hAnsi="宋体" w:eastAsia="宋体" w:cs="宋体"/>
                <w:b/>
                <w:color w:val="000000"/>
                <w:kern w:val="0"/>
                <w:sz w:val="24"/>
                <w:szCs w:val="21"/>
                <w:lang w:bidi="ar"/>
              </w:rPr>
            </w:pPr>
            <w:r>
              <w:rPr>
                <w:rFonts w:hint="eastAsia" w:ascii="宋体" w:hAnsi="宋体" w:eastAsia="宋体" w:cs="宋体"/>
                <w:b/>
                <w:bCs/>
                <w:i w:val="0"/>
                <w:iCs w:val="0"/>
                <w:color w:val="000000"/>
                <w:kern w:val="0"/>
                <w:sz w:val="24"/>
                <w:szCs w:val="24"/>
                <w:u w:val="none"/>
                <w:lang w:val="en-US" w:eastAsia="zh-CN" w:bidi="ar"/>
              </w:rPr>
              <w:t>联系人员及联系电话</w:t>
            </w:r>
          </w:p>
        </w:tc>
        <w:tc>
          <w:tcPr>
            <w:tcW w:w="1754" w:type="dxa"/>
            <w:tcBorders>
              <w:bottom w:val="single" w:color="000000" w:sz="4" w:space="0"/>
            </w:tcBorders>
            <w:shd w:val="clear" w:color="auto" w:fill="FFFFFF"/>
            <w:tcMar>
              <w:top w:w="15" w:type="dxa"/>
              <w:left w:w="15" w:type="dxa"/>
              <w:right w:w="15" w:type="dxa"/>
            </w:tcMar>
            <w:vAlign w:val="center"/>
          </w:tcPr>
          <w:p w14:paraId="78D64C9E">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主要入排标准</w:t>
            </w:r>
          </w:p>
        </w:tc>
      </w:tr>
      <w:tr w14:paraId="7E75AD7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tl2br w:val="nil"/>
              <w:tr2bl w:val="nil"/>
            </w:tcBorders>
            <w:shd w:val="clear" w:color="auto" w:fill="FFFFFF"/>
            <w:noWrap/>
            <w:tcMar>
              <w:top w:w="15" w:type="dxa"/>
              <w:left w:w="15" w:type="dxa"/>
              <w:right w:w="15" w:type="dxa"/>
            </w:tcMar>
            <w:vAlign w:val="center"/>
          </w:tcPr>
          <w:p w14:paraId="5249B3D3">
            <w:pPr>
              <w:keepNext w:val="0"/>
              <w:keepLines w:val="0"/>
              <w:widowControl/>
              <w:suppressLineNumbers w:val="0"/>
              <w:snapToGrid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5582" w:type="dxa"/>
            <w:tcBorders>
              <w:top w:val="single" w:color="000000" w:sz="4" w:space="0"/>
              <w:tl2br w:val="nil"/>
              <w:tr2bl w:val="nil"/>
            </w:tcBorders>
            <w:shd w:val="clear" w:color="auto" w:fill="FFFFFF"/>
            <w:tcMar>
              <w:top w:w="15" w:type="dxa"/>
              <w:left w:w="15" w:type="dxa"/>
              <w:right w:w="15" w:type="dxa"/>
            </w:tcMar>
            <w:vAlign w:val="center"/>
          </w:tcPr>
          <w:p w14:paraId="4BBC0AEC">
            <w:pPr>
              <w:keepNext w:val="0"/>
              <w:keepLines w:val="0"/>
              <w:widowControl/>
              <w:suppressLineNumbers w:val="0"/>
              <w:snapToGrid w:val="0"/>
              <w:jc w:val="left"/>
              <w:textAlignment w:val="center"/>
              <w:rPr>
                <w:rFonts w:hint="eastAsia" w:ascii="宋体" w:hAnsi="宋体" w:eastAsia="宋体" w:cs="宋体"/>
                <w:color w:val="000000"/>
                <w:sz w:val="22"/>
                <w:szCs w:val="20"/>
              </w:rPr>
            </w:pPr>
            <w:r>
              <w:rPr>
                <w:rFonts w:hint="eastAsia" w:ascii="宋体" w:hAnsi="宋体" w:eastAsia="宋体" w:cs="宋体"/>
                <w:i w:val="0"/>
                <w:iCs w:val="0"/>
                <w:color w:val="000000"/>
                <w:kern w:val="0"/>
                <w:sz w:val="22"/>
                <w:szCs w:val="22"/>
                <w:u w:val="none"/>
                <w:lang w:val="en-US" w:eastAsia="zh-CN" w:bidi="ar"/>
              </w:rPr>
              <w:t>评价ASKB589注射液或安慰剂联合CAPOX（奥沙利铂和卡培他滨）及PD-1抑制剂一线治疗CLDN18.2阳性的不可切除的局部晚期、复发性或转移性胃及食管胃交界处腺癌患者的有效性和安全性的III期临床研究</w:t>
            </w:r>
          </w:p>
        </w:tc>
        <w:tc>
          <w:tcPr>
            <w:tcW w:w="3765" w:type="dxa"/>
            <w:tcBorders>
              <w:top w:val="single" w:color="000000" w:sz="4" w:space="0"/>
              <w:tl2br w:val="nil"/>
              <w:tr2bl w:val="nil"/>
            </w:tcBorders>
            <w:shd w:val="clear" w:color="auto" w:fill="FFFFFF"/>
            <w:tcMar>
              <w:top w:w="15" w:type="dxa"/>
              <w:left w:w="15" w:type="dxa"/>
              <w:right w:w="15" w:type="dxa"/>
            </w:tcMar>
            <w:vAlign w:val="center"/>
          </w:tcPr>
          <w:p w14:paraId="3A3C7172">
            <w:pPr>
              <w:keepNext w:val="0"/>
              <w:keepLines w:val="0"/>
              <w:widowControl/>
              <w:suppressLineNumbers w:val="0"/>
              <w:snapToGrid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胃及食管胃交界处腺癌</w:t>
            </w:r>
          </w:p>
          <w:p w14:paraId="26978D45">
            <w:pPr>
              <w:bidi w:val="0"/>
              <w:rPr>
                <w:rFonts w:hint="eastAsia" w:asciiTheme="minorHAnsi" w:hAnsiTheme="minorHAnsi" w:eastAsiaTheme="minorEastAsia" w:cstheme="minorBidi"/>
                <w:kern w:val="2"/>
                <w:sz w:val="21"/>
                <w:szCs w:val="24"/>
                <w:lang w:val="en-US" w:eastAsia="zh-CN" w:bidi="ar-SA"/>
              </w:rPr>
            </w:pPr>
          </w:p>
          <w:p w14:paraId="0C898FCE">
            <w:pPr>
              <w:bidi w:val="0"/>
              <w:rPr>
                <w:rFonts w:hint="eastAsia"/>
                <w:lang w:val="en-US" w:eastAsia="zh-CN"/>
              </w:rPr>
            </w:pPr>
          </w:p>
          <w:p w14:paraId="3E52AEAA">
            <w:pPr>
              <w:tabs>
                <w:tab w:val="left" w:pos="2400"/>
              </w:tabs>
              <w:bidi w:val="0"/>
              <w:jc w:val="left"/>
              <w:rPr>
                <w:rFonts w:hint="eastAsia"/>
                <w:lang w:val="en-US" w:eastAsia="zh-CN"/>
              </w:rPr>
            </w:pPr>
            <w:r>
              <w:rPr>
                <w:rFonts w:hint="eastAsia"/>
                <w:lang w:val="en-US" w:eastAsia="zh-CN"/>
              </w:rPr>
              <w:tab/>
            </w:r>
          </w:p>
        </w:tc>
        <w:tc>
          <w:tcPr>
            <w:tcW w:w="1590" w:type="dxa"/>
            <w:tcBorders>
              <w:top w:val="single" w:color="000000" w:sz="4" w:space="0"/>
              <w:tl2br w:val="nil"/>
              <w:tr2bl w:val="nil"/>
            </w:tcBorders>
            <w:shd w:val="clear" w:color="auto" w:fill="FFFFFF"/>
            <w:tcMar>
              <w:top w:w="15" w:type="dxa"/>
              <w:left w:w="15" w:type="dxa"/>
              <w:right w:w="15" w:type="dxa"/>
            </w:tcMar>
            <w:vAlign w:val="center"/>
          </w:tcPr>
          <w:p w14:paraId="3F36D0DD">
            <w:pPr>
              <w:keepNext w:val="0"/>
              <w:keepLines w:val="0"/>
              <w:widowControl/>
              <w:suppressLineNumbers w:val="0"/>
              <w:snapToGrid w:val="0"/>
              <w:jc w:val="center"/>
              <w:textAlignment w:val="center"/>
              <w:rPr>
                <w:rFonts w:hint="eastAsia" w:ascii="宋体" w:hAnsi="宋体" w:eastAsia="宋体" w:cs="宋体"/>
                <w:color w:val="FF0000"/>
                <w:sz w:val="22"/>
                <w:szCs w:val="20"/>
              </w:rPr>
            </w:pPr>
            <w:r>
              <w:rPr>
                <w:rFonts w:hint="eastAsia" w:ascii="宋体" w:hAnsi="宋体" w:eastAsia="宋体" w:cs="宋体"/>
                <w:i w:val="0"/>
                <w:iCs w:val="0"/>
                <w:color w:val="000000"/>
                <w:kern w:val="0"/>
                <w:sz w:val="22"/>
                <w:szCs w:val="22"/>
                <w:u w:val="none"/>
                <w:lang w:val="en-US" w:eastAsia="zh-CN" w:bidi="ar"/>
              </w:rPr>
              <w:t>消化肿瘤内科</w:t>
            </w:r>
          </w:p>
        </w:tc>
        <w:tc>
          <w:tcPr>
            <w:tcW w:w="2235" w:type="dxa"/>
            <w:tcBorders>
              <w:top w:val="single" w:color="000000" w:sz="4" w:space="0"/>
              <w:tl2br w:val="nil"/>
              <w:tr2bl w:val="nil"/>
            </w:tcBorders>
            <w:shd w:val="clear" w:color="auto" w:fill="FFFFFF"/>
            <w:tcMar>
              <w:top w:w="15" w:type="dxa"/>
              <w:left w:w="15" w:type="dxa"/>
              <w:right w:w="15" w:type="dxa"/>
            </w:tcMar>
            <w:vAlign w:val="center"/>
          </w:tcPr>
          <w:p w14:paraId="10F62108">
            <w:pPr>
              <w:keepNext w:val="0"/>
              <w:keepLines w:val="0"/>
              <w:widowControl/>
              <w:suppressLineNumbers w:val="0"/>
              <w:snapToGrid w:val="0"/>
              <w:jc w:val="center"/>
              <w:textAlignment w:val="center"/>
              <w:rPr>
                <w:rFonts w:hint="eastAsia" w:ascii="宋体" w:hAnsi="宋体" w:eastAsia="宋体" w:cs="宋体"/>
                <w:color w:val="FF0000"/>
                <w:kern w:val="0"/>
                <w:sz w:val="22"/>
                <w:szCs w:val="20"/>
                <w:lang w:bidi="ar"/>
              </w:rPr>
            </w:pPr>
            <w:r>
              <w:rPr>
                <w:rFonts w:hint="eastAsia" w:ascii="宋体" w:hAnsi="宋体" w:eastAsia="宋体" w:cs="宋体"/>
                <w:i w:val="0"/>
                <w:iCs w:val="0"/>
                <w:color w:val="000000"/>
                <w:kern w:val="0"/>
                <w:sz w:val="22"/>
                <w:szCs w:val="22"/>
                <w:u w:val="none"/>
                <w:lang w:val="en-US" w:eastAsia="zh-CN" w:bidi="ar"/>
              </w:rPr>
              <w:t>饶燕13888524470</w:t>
            </w:r>
          </w:p>
        </w:tc>
        <w:tc>
          <w:tcPr>
            <w:tcW w:w="1754" w:type="dxa"/>
            <w:tcBorders>
              <w:top w:val="single" w:color="000000" w:sz="4" w:space="0"/>
              <w:tl2br w:val="nil"/>
              <w:tr2bl w:val="nil"/>
            </w:tcBorders>
            <w:shd w:val="clear" w:color="auto" w:fill="FFFFFF"/>
            <w:tcMar>
              <w:top w:w="15" w:type="dxa"/>
              <w:left w:w="15" w:type="dxa"/>
              <w:right w:w="15" w:type="dxa"/>
            </w:tcMar>
            <w:vAlign w:val="center"/>
          </w:tcPr>
          <w:p w14:paraId="34B57345">
            <w:pPr>
              <w:keepNext w:val="0"/>
              <w:keepLines w:val="0"/>
              <w:widowControl/>
              <w:suppressLineNumbers w:val="0"/>
              <w:snapToGrid w:val="0"/>
              <w:jc w:val="center"/>
              <w:textAlignment w:val="center"/>
              <w:rPr>
                <w:rFonts w:hint="default" w:ascii="宋体" w:hAnsi="宋体" w:eastAsia="宋体" w:cs="宋体"/>
                <w:color w:val="auto"/>
                <w:sz w:val="22"/>
                <w:szCs w:val="20"/>
                <w:u w:val="none"/>
                <w:lang w:val="en-US"/>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29</w:t>
            </w:r>
          </w:p>
        </w:tc>
      </w:tr>
      <w:tr w14:paraId="70FF330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6C2596BA">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2</w:t>
            </w:r>
          </w:p>
        </w:tc>
        <w:tc>
          <w:tcPr>
            <w:tcW w:w="5582" w:type="dxa"/>
            <w:tcBorders>
              <w:tl2br w:val="nil"/>
              <w:tr2bl w:val="nil"/>
            </w:tcBorders>
            <w:shd w:val="clear" w:color="auto" w:fill="FFFFFF"/>
            <w:tcMar>
              <w:top w:w="15" w:type="dxa"/>
              <w:left w:w="15" w:type="dxa"/>
              <w:right w:w="15" w:type="dxa"/>
            </w:tcMar>
            <w:vAlign w:val="center"/>
          </w:tcPr>
          <w:p w14:paraId="2E19F6DC">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盐酸希美替尼片对照研究者选择化疗治疗晚期或转移性食管鳞癌的随机、开放、阳性药对照、多中心</w:t>
            </w:r>
            <w:r>
              <w:rPr>
                <w:rFonts w:ascii="宋体" w:hAnsi="微软雅黑" w:eastAsia="宋体" w:cs="微软雅黑"/>
                <w:i w:val="0"/>
                <w:iCs w:val="0"/>
                <w:color w:val="000000"/>
                <w:kern w:val="0"/>
                <w:sz w:val="22"/>
                <w:szCs w:val="22"/>
                <w:u w:val="none"/>
                <w:lang w:val="en-US" w:eastAsia="zh-CN" w:bidi="ar"/>
              </w:rPr>
              <w:t>Ⅲ</w:t>
            </w:r>
            <w:r>
              <w:rPr>
                <w:rFonts w:hint="eastAsia" w:ascii="宋体" w:hAnsi="宋体" w:eastAsia="宋体" w:cs="宋体"/>
                <w:i w:val="0"/>
                <w:iCs w:val="0"/>
                <w:color w:val="000000"/>
                <w:kern w:val="0"/>
                <w:sz w:val="22"/>
                <w:szCs w:val="22"/>
                <w:u w:val="none"/>
                <w:lang w:val="en-US" w:eastAsia="zh-CN" w:bidi="ar"/>
              </w:rPr>
              <w:t>期临床研究</w:t>
            </w:r>
          </w:p>
        </w:tc>
        <w:tc>
          <w:tcPr>
            <w:tcW w:w="3765" w:type="dxa"/>
            <w:tcBorders>
              <w:tl2br w:val="nil"/>
              <w:tr2bl w:val="nil"/>
            </w:tcBorders>
            <w:shd w:val="clear" w:color="auto" w:fill="FFFFFF"/>
            <w:tcMar>
              <w:top w:w="15" w:type="dxa"/>
              <w:left w:w="15" w:type="dxa"/>
              <w:right w:w="15" w:type="dxa"/>
            </w:tcMar>
            <w:vAlign w:val="center"/>
          </w:tcPr>
          <w:p w14:paraId="4C68AD8B">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晚期或转移性食管鳞癌</w:t>
            </w:r>
          </w:p>
        </w:tc>
        <w:tc>
          <w:tcPr>
            <w:tcW w:w="1590" w:type="dxa"/>
            <w:tcBorders>
              <w:tl2br w:val="nil"/>
              <w:tr2bl w:val="nil"/>
            </w:tcBorders>
            <w:shd w:val="clear" w:color="auto" w:fill="FFFFFF"/>
            <w:tcMar>
              <w:top w:w="15" w:type="dxa"/>
              <w:left w:w="15" w:type="dxa"/>
              <w:right w:w="15" w:type="dxa"/>
            </w:tcMar>
            <w:vAlign w:val="center"/>
          </w:tcPr>
          <w:p w14:paraId="2BBD1637">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消化肿瘤内科</w:t>
            </w:r>
          </w:p>
        </w:tc>
        <w:tc>
          <w:tcPr>
            <w:tcW w:w="2235" w:type="dxa"/>
            <w:tcBorders>
              <w:tl2br w:val="nil"/>
              <w:tr2bl w:val="nil"/>
            </w:tcBorders>
            <w:shd w:val="clear" w:color="auto" w:fill="FFFFFF"/>
            <w:tcMar>
              <w:top w:w="15" w:type="dxa"/>
              <w:left w:w="15" w:type="dxa"/>
              <w:right w:w="15" w:type="dxa"/>
            </w:tcMar>
            <w:vAlign w:val="center"/>
          </w:tcPr>
          <w:p w14:paraId="72BFD1F1">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饶燕13888524470</w:t>
            </w:r>
          </w:p>
        </w:tc>
        <w:tc>
          <w:tcPr>
            <w:tcW w:w="1754" w:type="dxa"/>
            <w:tcBorders>
              <w:tl2br w:val="nil"/>
              <w:tr2bl w:val="nil"/>
            </w:tcBorders>
            <w:shd w:val="clear" w:color="auto" w:fill="FFFFFF"/>
            <w:tcMar>
              <w:top w:w="15" w:type="dxa"/>
              <w:left w:w="15" w:type="dxa"/>
              <w:right w:w="15" w:type="dxa"/>
            </w:tcMar>
            <w:vAlign w:val="center"/>
          </w:tcPr>
          <w:p w14:paraId="7EFCF3C1">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"F:\\2025年第二季度临床试验项目入排标准\\26.一项评估注射用QLF31907（PD-L14-1BB双特异性抗体）联合治疗晚期恶性肿瘤的安全性和有效性的Ib或II期临床研究.pdf"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30</w:t>
            </w:r>
          </w:p>
        </w:tc>
      </w:tr>
      <w:tr w14:paraId="143D9F6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5FE037C2">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3</w:t>
            </w:r>
          </w:p>
        </w:tc>
        <w:tc>
          <w:tcPr>
            <w:tcW w:w="5582" w:type="dxa"/>
            <w:tcBorders>
              <w:tl2br w:val="nil"/>
              <w:tr2bl w:val="nil"/>
            </w:tcBorders>
            <w:shd w:val="clear" w:color="auto" w:fill="FFFFFF"/>
            <w:tcMar>
              <w:top w:w="15" w:type="dxa"/>
              <w:left w:w="15" w:type="dxa"/>
              <w:right w:w="15" w:type="dxa"/>
            </w:tcMar>
            <w:vAlign w:val="center"/>
          </w:tcPr>
          <w:p w14:paraId="2C7FA7E5">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评价注射用BL-M05D1在局部晚期或转移性实体瘤患者中的安全性、耐受</w:t>
            </w:r>
            <w:bookmarkStart w:id="0" w:name="_GoBack"/>
            <w:bookmarkEnd w:id="0"/>
            <w:r>
              <w:rPr>
                <w:rFonts w:hint="eastAsia" w:ascii="宋体" w:hAnsi="宋体" w:eastAsia="宋体" w:cs="宋体"/>
                <w:i w:val="0"/>
                <w:iCs w:val="0"/>
                <w:color w:val="000000"/>
                <w:kern w:val="0"/>
                <w:sz w:val="22"/>
                <w:szCs w:val="22"/>
                <w:u w:val="none"/>
                <w:lang w:val="en-US" w:eastAsia="zh-CN" w:bidi="ar"/>
              </w:rPr>
              <w:t>性、药代动力学特征和初步疗效的I期临床研究</w:t>
            </w:r>
          </w:p>
        </w:tc>
        <w:tc>
          <w:tcPr>
            <w:tcW w:w="3765" w:type="dxa"/>
            <w:tcBorders>
              <w:tl2br w:val="nil"/>
              <w:tr2bl w:val="nil"/>
            </w:tcBorders>
            <w:shd w:val="clear" w:color="auto" w:fill="FFFFFF"/>
            <w:tcMar>
              <w:top w:w="15" w:type="dxa"/>
              <w:left w:w="15" w:type="dxa"/>
              <w:right w:w="15" w:type="dxa"/>
            </w:tcMar>
            <w:vAlign w:val="center"/>
          </w:tcPr>
          <w:p w14:paraId="079CEEDD">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胃癌、胆道癌、胰腺癌</w:t>
            </w:r>
          </w:p>
        </w:tc>
        <w:tc>
          <w:tcPr>
            <w:tcW w:w="1590" w:type="dxa"/>
            <w:tcBorders>
              <w:tl2br w:val="nil"/>
              <w:tr2bl w:val="nil"/>
            </w:tcBorders>
            <w:shd w:val="clear" w:color="auto" w:fill="FFFFFF"/>
            <w:tcMar>
              <w:top w:w="15" w:type="dxa"/>
              <w:left w:w="15" w:type="dxa"/>
              <w:right w:w="15" w:type="dxa"/>
            </w:tcMar>
            <w:vAlign w:val="center"/>
          </w:tcPr>
          <w:p w14:paraId="397DEE3D">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消化肿瘤内科</w:t>
            </w:r>
          </w:p>
        </w:tc>
        <w:tc>
          <w:tcPr>
            <w:tcW w:w="2235" w:type="dxa"/>
            <w:tcBorders>
              <w:tl2br w:val="nil"/>
              <w:tr2bl w:val="nil"/>
            </w:tcBorders>
            <w:shd w:val="clear" w:color="auto" w:fill="FFFFFF"/>
            <w:tcMar>
              <w:top w:w="15" w:type="dxa"/>
              <w:left w:w="15" w:type="dxa"/>
              <w:right w:w="15" w:type="dxa"/>
            </w:tcMar>
            <w:vAlign w:val="center"/>
          </w:tcPr>
          <w:p w14:paraId="1DA0FB8F">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饶燕13888524470</w:t>
            </w:r>
          </w:p>
        </w:tc>
        <w:tc>
          <w:tcPr>
            <w:tcW w:w="1754" w:type="dxa"/>
            <w:tcBorders>
              <w:tl2br w:val="nil"/>
              <w:tr2bl w:val="nil"/>
            </w:tcBorders>
            <w:shd w:val="clear" w:color="auto" w:fill="FFFFFF"/>
            <w:tcMar>
              <w:top w:w="15" w:type="dxa"/>
              <w:left w:w="15" w:type="dxa"/>
              <w:right w:w="15" w:type="dxa"/>
            </w:tcMar>
            <w:vAlign w:val="center"/>
          </w:tcPr>
          <w:p w14:paraId="5CF0FEB9">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"F:\\2025年第二季度临床试验项目入排标准\\27.一项评估XNW28012治疗晚期实体瘤患者的安全性、耐受性、药代动力学和初步抗肿瘤活性的开放性、多中心、I或II期临床研究.pdf"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31</w:t>
            </w:r>
          </w:p>
        </w:tc>
      </w:tr>
      <w:tr w14:paraId="460FCA1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203D6382">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4</w:t>
            </w:r>
          </w:p>
        </w:tc>
        <w:tc>
          <w:tcPr>
            <w:tcW w:w="5582" w:type="dxa"/>
            <w:tcBorders>
              <w:tl2br w:val="nil"/>
              <w:tr2bl w:val="nil"/>
            </w:tcBorders>
            <w:shd w:val="clear" w:color="auto" w:fill="FFFFFF"/>
            <w:tcMar>
              <w:top w:w="15" w:type="dxa"/>
              <w:left w:w="15" w:type="dxa"/>
              <w:right w:w="15" w:type="dxa"/>
            </w:tcMar>
            <w:vAlign w:val="center"/>
          </w:tcPr>
          <w:p w14:paraId="133C8181">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一项</w:t>
            </w:r>
            <w:r>
              <w:rPr>
                <w:rFonts w:ascii="宋体" w:hAnsi="Arial" w:eastAsia="宋体" w:cs="Arial"/>
                <w:i w:val="0"/>
                <w:iCs w:val="0"/>
                <w:color w:val="000000"/>
                <w:kern w:val="0"/>
                <w:sz w:val="22"/>
                <w:szCs w:val="22"/>
                <w:u w:val="none"/>
                <w:lang w:val="en-US" w:eastAsia="zh-CN" w:bidi="ar"/>
              </w:rPr>
              <w:t>Rilvegostomig</w:t>
            </w:r>
            <w:r>
              <w:rPr>
                <w:rFonts w:hint="eastAsia" w:ascii="宋体" w:hAnsi="宋体" w:eastAsia="宋体" w:cs="宋体"/>
                <w:i w:val="0"/>
                <w:iCs w:val="0"/>
                <w:color w:val="000000"/>
                <w:kern w:val="0"/>
                <w:sz w:val="22"/>
                <w:szCs w:val="22"/>
                <w:u w:val="none"/>
                <w:lang w:val="en-US" w:eastAsia="zh-CN" w:bidi="ar"/>
              </w:rPr>
              <w:t>联合氟嘧啶和德曲妥珠单抗对比曲妥珠单抗联合化疗和帕博利珠单抗一线治疗</w:t>
            </w:r>
            <w:r>
              <w:rPr>
                <w:rFonts w:ascii="宋体" w:hAnsi="Arial" w:eastAsia="宋体" w:cs="Arial"/>
                <w:i w:val="0"/>
                <w:iCs w:val="0"/>
                <w:color w:val="000000"/>
                <w:kern w:val="0"/>
                <w:sz w:val="22"/>
                <w:szCs w:val="22"/>
                <w:u w:val="none"/>
                <w:lang w:val="en-US" w:eastAsia="zh-CN" w:bidi="ar"/>
              </w:rPr>
              <w:t>HER2</w:t>
            </w:r>
            <w:r>
              <w:rPr>
                <w:rFonts w:hint="eastAsia" w:ascii="宋体" w:hAnsi="宋体" w:eastAsia="宋体" w:cs="宋体"/>
                <w:i w:val="0"/>
                <w:iCs w:val="0"/>
                <w:color w:val="000000"/>
                <w:kern w:val="0"/>
                <w:sz w:val="22"/>
                <w:szCs w:val="22"/>
                <w:u w:val="none"/>
                <w:lang w:val="en-US" w:eastAsia="zh-CN" w:bidi="ar"/>
              </w:rPr>
              <w:t>阳性胃癌的随机、</w:t>
            </w:r>
            <w:r>
              <w:rPr>
                <w:rFonts w:ascii="宋体" w:hAnsi="Arial" w:eastAsia="宋体" w:cs="Arial"/>
                <w:i w:val="0"/>
                <w:iCs w:val="0"/>
                <w:color w:val="000000"/>
                <w:kern w:val="0"/>
                <w:sz w:val="22"/>
                <w:szCs w:val="22"/>
                <w:u w:val="none"/>
                <w:lang w:val="en-US" w:eastAsia="zh-CN" w:bidi="ar"/>
              </w:rPr>
              <w:t xml:space="preserve"> III</w:t>
            </w:r>
            <w:r>
              <w:rPr>
                <w:rFonts w:hint="eastAsia" w:ascii="宋体" w:hAnsi="宋体" w:eastAsia="宋体" w:cs="宋体"/>
                <w:i w:val="0"/>
                <w:iCs w:val="0"/>
                <w:color w:val="000000"/>
                <w:kern w:val="0"/>
                <w:sz w:val="22"/>
                <w:szCs w:val="22"/>
                <w:u w:val="none"/>
                <w:lang w:val="en-US" w:eastAsia="zh-CN" w:bidi="ar"/>
              </w:rPr>
              <w:t>期研究</w:t>
            </w:r>
            <w:r>
              <w:rPr>
                <w:rFonts w:ascii="宋体" w:hAnsi="Arial" w:eastAsia="宋体" w:cs="Arial"/>
                <w:i w:val="0"/>
                <w:iCs w:val="0"/>
                <w:color w:val="000000"/>
                <w:kern w:val="0"/>
                <w:sz w:val="22"/>
                <w:szCs w:val="22"/>
                <w:u w:val="none"/>
                <w:lang w:val="en-US" w:eastAsia="zh-CN" w:bidi="ar"/>
              </w:rPr>
              <w:t>(ARTEMIDE-Gastric01)</w:t>
            </w:r>
          </w:p>
        </w:tc>
        <w:tc>
          <w:tcPr>
            <w:tcW w:w="3765" w:type="dxa"/>
            <w:tcBorders>
              <w:tl2br w:val="nil"/>
              <w:tr2bl w:val="nil"/>
            </w:tcBorders>
            <w:shd w:val="clear" w:color="auto" w:fill="FFFFFF"/>
            <w:noWrap/>
            <w:tcMar>
              <w:top w:w="15" w:type="dxa"/>
              <w:left w:w="15" w:type="dxa"/>
              <w:right w:w="15" w:type="dxa"/>
            </w:tcMar>
            <w:vAlign w:val="center"/>
          </w:tcPr>
          <w:p w14:paraId="6D0D555E">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既往未经治疗、不可切除、局部晚期或转移性胃或胃食管结合部腺癌</w:t>
            </w:r>
          </w:p>
        </w:tc>
        <w:tc>
          <w:tcPr>
            <w:tcW w:w="1590" w:type="dxa"/>
            <w:tcBorders>
              <w:tl2br w:val="nil"/>
              <w:tr2bl w:val="nil"/>
            </w:tcBorders>
            <w:shd w:val="clear" w:color="auto" w:fill="FFFFFF"/>
            <w:tcMar>
              <w:top w:w="15" w:type="dxa"/>
              <w:left w:w="15" w:type="dxa"/>
              <w:right w:w="15" w:type="dxa"/>
            </w:tcMar>
            <w:vAlign w:val="center"/>
          </w:tcPr>
          <w:p w14:paraId="52DCBAA2">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消化肿瘤内科</w:t>
            </w:r>
          </w:p>
        </w:tc>
        <w:tc>
          <w:tcPr>
            <w:tcW w:w="2235" w:type="dxa"/>
            <w:tcBorders>
              <w:tl2br w:val="nil"/>
              <w:tr2bl w:val="nil"/>
            </w:tcBorders>
            <w:shd w:val="clear" w:color="auto" w:fill="FFFFFF"/>
            <w:tcMar>
              <w:top w:w="15" w:type="dxa"/>
              <w:left w:w="15" w:type="dxa"/>
              <w:right w:w="15" w:type="dxa"/>
            </w:tcMar>
            <w:vAlign w:val="center"/>
          </w:tcPr>
          <w:p w14:paraId="28C6B1E2">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饶燕13888524470</w:t>
            </w:r>
          </w:p>
        </w:tc>
        <w:tc>
          <w:tcPr>
            <w:tcW w:w="1754" w:type="dxa"/>
            <w:tcBorders>
              <w:tl2br w:val="nil"/>
              <w:tr2bl w:val="nil"/>
            </w:tcBorders>
            <w:shd w:val="clear" w:color="auto" w:fill="FFFFFF"/>
            <w:tcMar>
              <w:top w:w="15" w:type="dxa"/>
              <w:left w:w="15" w:type="dxa"/>
              <w:right w:w="15" w:type="dxa"/>
            </w:tcMar>
            <w:vAlign w:val="center"/>
          </w:tcPr>
          <w:p w14:paraId="65D2B4D7">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28.注射用多西他赛（白蛋白结合型）对比泰索帝®治疗既往一线治疗失败的局部晚期或转移性胃腺癌或胃食管结合部腺癌的多中心、随机、开放、阳性对照III期临床研究.docx"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32</w:t>
            </w:r>
          </w:p>
        </w:tc>
      </w:tr>
      <w:tr w14:paraId="06113DF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7A9735B3">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5</w:t>
            </w:r>
          </w:p>
        </w:tc>
        <w:tc>
          <w:tcPr>
            <w:tcW w:w="5582" w:type="dxa"/>
            <w:tcBorders>
              <w:tl2br w:val="nil"/>
              <w:tr2bl w:val="nil"/>
            </w:tcBorders>
            <w:shd w:val="clear" w:color="auto" w:fill="FFFFFF"/>
            <w:tcMar>
              <w:top w:w="15" w:type="dxa"/>
              <w:left w:w="15" w:type="dxa"/>
              <w:right w:w="15" w:type="dxa"/>
            </w:tcMar>
            <w:vAlign w:val="center"/>
          </w:tcPr>
          <w:p w14:paraId="08CC5A94">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评价注射用</w:t>
            </w:r>
            <w:r>
              <w:rPr>
                <w:rFonts w:ascii="宋体" w:hAnsi="Arial" w:eastAsia="宋体" w:cs="Arial"/>
                <w:i w:val="0"/>
                <w:iCs w:val="0"/>
                <w:color w:val="000000"/>
                <w:kern w:val="0"/>
                <w:sz w:val="22"/>
                <w:szCs w:val="22"/>
                <w:u w:val="none"/>
                <w:lang w:val="en-US" w:eastAsia="zh-CN" w:bidi="ar"/>
              </w:rPr>
              <w:t>QLS31905</w:t>
            </w:r>
            <w:r>
              <w:rPr>
                <w:rFonts w:hint="eastAsia" w:ascii="宋体" w:hAnsi="宋体" w:eastAsia="宋体" w:cs="宋体"/>
                <w:i w:val="0"/>
                <w:iCs w:val="0"/>
                <w:color w:val="000000"/>
                <w:kern w:val="0"/>
                <w:sz w:val="22"/>
                <w:szCs w:val="22"/>
                <w:u w:val="none"/>
                <w:lang w:val="en-US" w:eastAsia="zh-CN" w:bidi="ar"/>
              </w:rPr>
              <w:t>联合化疗对比安慰剂联合化疗用于</w:t>
            </w:r>
            <w:r>
              <w:rPr>
                <w:rFonts w:ascii="宋体" w:hAnsi="Arial" w:eastAsia="宋体" w:cs="Arial"/>
                <w:i w:val="0"/>
                <w:iCs w:val="0"/>
                <w:color w:val="000000"/>
                <w:kern w:val="0"/>
                <w:sz w:val="22"/>
                <w:szCs w:val="22"/>
                <w:u w:val="none"/>
                <w:lang w:val="en-US" w:eastAsia="zh-CN" w:bidi="ar"/>
              </w:rPr>
              <w:t>CLDN18.2</w:t>
            </w:r>
            <w:r>
              <w:rPr>
                <w:rFonts w:hint="eastAsia" w:ascii="宋体" w:hAnsi="宋体" w:eastAsia="宋体" w:cs="宋体"/>
                <w:i w:val="0"/>
                <w:iCs w:val="0"/>
                <w:color w:val="000000"/>
                <w:kern w:val="0"/>
                <w:sz w:val="22"/>
                <w:szCs w:val="22"/>
                <w:u w:val="none"/>
                <w:lang w:val="en-US" w:eastAsia="zh-CN" w:bidi="ar"/>
              </w:rPr>
              <w:t>阳性晚期胰腺癌一线治疗的随机、双盲、多中心Ⅲ期临床研究</w:t>
            </w:r>
          </w:p>
        </w:tc>
        <w:tc>
          <w:tcPr>
            <w:tcW w:w="3765" w:type="dxa"/>
            <w:tcBorders>
              <w:tl2br w:val="nil"/>
              <w:tr2bl w:val="nil"/>
            </w:tcBorders>
            <w:shd w:val="clear" w:color="auto" w:fill="FFFFFF"/>
            <w:tcMar>
              <w:top w:w="15" w:type="dxa"/>
              <w:left w:w="15" w:type="dxa"/>
              <w:right w:w="15" w:type="dxa"/>
            </w:tcMar>
            <w:vAlign w:val="center"/>
          </w:tcPr>
          <w:p w14:paraId="7CBA4A93">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未针对局部晚期或转移性疾病接受过系统性抗肿瘤治疗的</w:t>
            </w:r>
            <w:r>
              <w:rPr>
                <w:rFonts w:ascii="宋体" w:hAnsi="Arial" w:eastAsia="宋体" w:cs="Arial"/>
                <w:b w:val="0"/>
                <w:bCs w:val="0"/>
                <w:i w:val="0"/>
                <w:iCs w:val="0"/>
                <w:color w:val="000000"/>
                <w:kern w:val="0"/>
                <w:sz w:val="22"/>
                <w:szCs w:val="22"/>
                <w:u w:val="none"/>
                <w:lang w:val="en-US" w:eastAsia="zh-CN" w:bidi="ar"/>
              </w:rPr>
              <w:t>CLDN18.2</w:t>
            </w:r>
            <w:r>
              <w:rPr>
                <w:rFonts w:hint="eastAsia" w:ascii="宋体" w:hAnsi="宋体" w:eastAsia="宋体" w:cs="宋体"/>
                <w:b w:val="0"/>
                <w:bCs w:val="0"/>
                <w:i w:val="0"/>
                <w:iCs w:val="0"/>
                <w:color w:val="000000"/>
                <w:kern w:val="0"/>
                <w:sz w:val="22"/>
                <w:szCs w:val="22"/>
                <w:u w:val="none"/>
                <w:lang w:val="en-US" w:eastAsia="zh-CN" w:bidi="ar"/>
              </w:rPr>
              <w:t>阳性胰腺癌一线患者</w:t>
            </w:r>
          </w:p>
        </w:tc>
        <w:tc>
          <w:tcPr>
            <w:tcW w:w="1590" w:type="dxa"/>
            <w:tcBorders>
              <w:tl2br w:val="nil"/>
              <w:tr2bl w:val="nil"/>
            </w:tcBorders>
            <w:shd w:val="clear" w:color="auto" w:fill="FFFFFF"/>
            <w:tcMar>
              <w:top w:w="15" w:type="dxa"/>
              <w:left w:w="15" w:type="dxa"/>
              <w:right w:w="15" w:type="dxa"/>
            </w:tcMar>
            <w:vAlign w:val="center"/>
          </w:tcPr>
          <w:p w14:paraId="78FFC280">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消化肿瘤内科</w:t>
            </w:r>
          </w:p>
        </w:tc>
        <w:tc>
          <w:tcPr>
            <w:tcW w:w="2235" w:type="dxa"/>
            <w:tcBorders>
              <w:tl2br w:val="nil"/>
              <w:tr2bl w:val="nil"/>
            </w:tcBorders>
            <w:shd w:val="clear" w:color="auto" w:fill="FFFFFF"/>
            <w:tcMar>
              <w:top w:w="15" w:type="dxa"/>
              <w:left w:w="15" w:type="dxa"/>
              <w:right w:w="15" w:type="dxa"/>
            </w:tcMar>
            <w:vAlign w:val="center"/>
          </w:tcPr>
          <w:p w14:paraId="40A23EB4">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饶燕13888524470</w:t>
            </w:r>
          </w:p>
        </w:tc>
        <w:tc>
          <w:tcPr>
            <w:tcW w:w="1754" w:type="dxa"/>
            <w:tcBorders>
              <w:tl2br w:val="nil"/>
              <w:tr2bl w:val="nil"/>
            </w:tcBorders>
            <w:shd w:val="clear" w:color="auto" w:fill="FFFFFF"/>
            <w:tcMar>
              <w:top w:w="15" w:type="dxa"/>
              <w:left w:w="15" w:type="dxa"/>
              <w:right w:w="15" w:type="dxa"/>
            </w:tcMar>
            <w:vAlign w:val="center"/>
          </w:tcPr>
          <w:p w14:paraId="64203AB4">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"F:\\2025年第二季度临床试验项目入排标准\\29.PM8002 注射液或安慰剂联合注射用白蛋白结合型紫杉醇一线治疗不可手术的局部晚期_复发转移性三阴性乳腺癌的多中心、随机、双盲 Ⅲ 期临床研究.png"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33</w:t>
            </w:r>
          </w:p>
        </w:tc>
      </w:tr>
      <w:tr w14:paraId="09AF0FF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503F8D8A">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6</w:t>
            </w:r>
          </w:p>
        </w:tc>
        <w:tc>
          <w:tcPr>
            <w:tcW w:w="5582" w:type="dxa"/>
            <w:tcBorders>
              <w:tl2br w:val="nil"/>
              <w:tr2bl w:val="nil"/>
            </w:tcBorders>
            <w:shd w:val="clear" w:color="auto" w:fill="FFFFFF"/>
            <w:tcMar>
              <w:top w:w="15" w:type="dxa"/>
              <w:left w:w="15" w:type="dxa"/>
              <w:right w:w="15" w:type="dxa"/>
            </w:tcMar>
            <w:vAlign w:val="center"/>
          </w:tcPr>
          <w:p w14:paraId="3E78A909">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评价</w:t>
            </w:r>
            <w:r>
              <w:rPr>
                <w:rFonts w:ascii="宋体" w:hAnsi="Arial" w:eastAsia="宋体" w:cs="Arial"/>
                <w:i w:val="0"/>
                <w:iCs w:val="0"/>
                <w:color w:val="000000"/>
                <w:kern w:val="0"/>
                <w:sz w:val="22"/>
                <w:szCs w:val="22"/>
                <w:u w:val="none"/>
                <w:lang w:val="en-US" w:eastAsia="zh-CN" w:bidi="ar"/>
              </w:rPr>
              <w:t>JSKN003</w:t>
            </w:r>
            <w:r>
              <w:rPr>
                <w:rFonts w:hint="eastAsia" w:ascii="宋体" w:hAnsi="宋体" w:eastAsia="宋体" w:cs="宋体"/>
                <w:i w:val="0"/>
                <w:iCs w:val="0"/>
                <w:color w:val="000000"/>
                <w:kern w:val="0"/>
                <w:sz w:val="22"/>
                <w:szCs w:val="22"/>
                <w:u w:val="none"/>
                <w:lang w:val="en-US" w:eastAsia="zh-CN" w:bidi="ar"/>
              </w:rPr>
              <w:t>联合治疗在</w:t>
            </w:r>
            <w:r>
              <w:rPr>
                <w:rFonts w:ascii="宋体" w:hAnsi="Arial" w:eastAsia="宋体" w:cs="Arial"/>
                <w:i w:val="0"/>
                <w:iCs w:val="0"/>
                <w:color w:val="000000"/>
                <w:kern w:val="0"/>
                <w:sz w:val="22"/>
                <w:szCs w:val="22"/>
                <w:u w:val="none"/>
                <w:lang w:val="en-US" w:eastAsia="zh-CN" w:bidi="ar"/>
              </w:rPr>
              <w:t>HER2</w:t>
            </w:r>
            <w:r>
              <w:rPr>
                <w:rFonts w:hint="eastAsia" w:ascii="宋体" w:hAnsi="宋体" w:eastAsia="宋体" w:cs="宋体"/>
                <w:i w:val="0"/>
                <w:iCs w:val="0"/>
                <w:color w:val="000000"/>
                <w:kern w:val="0"/>
                <w:sz w:val="22"/>
                <w:szCs w:val="22"/>
                <w:u w:val="none"/>
                <w:lang w:val="en-US" w:eastAsia="zh-CN" w:bidi="ar"/>
              </w:rPr>
              <w:t>阳性不可切除局部晚期或转移性一线胃</w:t>
            </w:r>
            <w:r>
              <w:rPr>
                <w:rFonts w:ascii="宋体"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胃食管结合部腺癌治疗，或可切除胃</w:t>
            </w:r>
            <w:r>
              <w:rPr>
                <w:rFonts w:ascii="宋体"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胃食管结合部腺癌围手术期治疗中的安全性和有效性的Ⅱ期临床研究</w:t>
            </w:r>
          </w:p>
        </w:tc>
        <w:tc>
          <w:tcPr>
            <w:tcW w:w="3765" w:type="dxa"/>
            <w:tcBorders>
              <w:tl2br w:val="nil"/>
              <w:tr2bl w:val="nil"/>
            </w:tcBorders>
            <w:shd w:val="clear" w:color="auto" w:fill="FFFFFF"/>
            <w:tcMar>
              <w:top w:w="15" w:type="dxa"/>
              <w:left w:w="15" w:type="dxa"/>
              <w:right w:w="15" w:type="dxa"/>
            </w:tcMar>
            <w:vAlign w:val="center"/>
          </w:tcPr>
          <w:p w14:paraId="2505E093">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胃</w:t>
            </w:r>
            <w:r>
              <w:rPr>
                <w:rFonts w:ascii="宋体" w:hAnsi="Arial" w:eastAsia="宋体" w:cs="Arial"/>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胃食管结合部腺癌</w:t>
            </w:r>
          </w:p>
        </w:tc>
        <w:tc>
          <w:tcPr>
            <w:tcW w:w="1590" w:type="dxa"/>
            <w:tcBorders>
              <w:tl2br w:val="nil"/>
              <w:tr2bl w:val="nil"/>
            </w:tcBorders>
            <w:shd w:val="clear" w:color="auto" w:fill="FFFFFF"/>
            <w:tcMar>
              <w:top w:w="15" w:type="dxa"/>
              <w:left w:w="15" w:type="dxa"/>
              <w:right w:w="15" w:type="dxa"/>
            </w:tcMar>
            <w:vAlign w:val="center"/>
          </w:tcPr>
          <w:p w14:paraId="788603C3">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消化肿瘤内科</w:t>
            </w:r>
          </w:p>
        </w:tc>
        <w:tc>
          <w:tcPr>
            <w:tcW w:w="2235" w:type="dxa"/>
            <w:tcBorders>
              <w:tl2br w:val="nil"/>
              <w:tr2bl w:val="nil"/>
            </w:tcBorders>
            <w:shd w:val="clear" w:color="auto" w:fill="FFFFFF"/>
            <w:tcMar>
              <w:top w:w="15" w:type="dxa"/>
              <w:left w:w="15" w:type="dxa"/>
              <w:right w:w="15" w:type="dxa"/>
            </w:tcMar>
            <w:vAlign w:val="center"/>
          </w:tcPr>
          <w:p w14:paraId="23CBD717">
            <w:pPr>
              <w:keepNext w:val="0"/>
              <w:keepLines w:val="0"/>
              <w:widowControl/>
              <w:suppressLineNumbers w:val="0"/>
              <w:snapToGrid w:val="0"/>
              <w:jc w:val="center"/>
              <w:textAlignment w:val="center"/>
              <w:rPr>
                <w:rFonts w:hint="eastAsia" w:ascii="宋体" w:hAnsi="宋体" w:eastAsia="宋体" w:cs="宋体"/>
                <w:color w:val="0000FF"/>
                <w:kern w:val="0"/>
                <w:sz w:val="22"/>
                <w:szCs w:val="20"/>
                <w:lang w:bidi="ar"/>
              </w:rPr>
            </w:pPr>
            <w:r>
              <w:rPr>
                <w:rFonts w:hint="eastAsia" w:ascii="宋体" w:hAnsi="宋体" w:eastAsia="宋体" w:cs="宋体"/>
                <w:i w:val="0"/>
                <w:iCs w:val="0"/>
                <w:color w:val="000000"/>
                <w:kern w:val="0"/>
                <w:sz w:val="22"/>
                <w:szCs w:val="22"/>
                <w:u w:val="none"/>
                <w:lang w:val="en-US" w:eastAsia="zh-CN" w:bidi="ar"/>
              </w:rPr>
              <w:t>饶燕13888524470</w:t>
            </w:r>
          </w:p>
        </w:tc>
        <w:tc>
          <w:tcPr>
            <w:tcW w:w="1754" w:type="dxa"/>
            <w:tcBorders>
              <w:tl2br w:val="nil"/>
              <w:tr2bl w:val="nil"/>
            </w:tcBorders>
            <w:shd w:val="clear" w:color="auto" w:fill="FFFFFF"/>
            <w:tcMar>
              <w:top w:w="15" w:type="dxa"/>
              <w:left w:w="15" w:type="dxa"/>
              <w:right w:w="15" w:type="dxa"/>
            </w:tcMar>
            <w:vAlign w:val="center"/>
          </w:tcPr>
          <w:p w14:paraId="3A60E28C">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"F:\\2025年第二季度临床试验项目入排标准\\30.评价B013联合紫杉醇治疗铂耐药复发卵巢癌、输卵管癌或原发性腹膜癌的有效性和安全性的多中心、随机双盲、平行对照的Ⅱ期临床研究.pdf"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34</w:t>
            </w:r>
          </w:p>
        </w:tc>
      </w:tr>
      <w:tr w14:paraId="6255FE7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4850D2C1">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7</w:t>
            </w:r>
          </w:p>
        </w:tc>
        <w:tc>
          <w:tcPr>
            <w:tcW w:w="5582" w:type="dxa"/>
            <w:tcBorders>
              <w:tl2br w:val="nil"/>
              <w:tr2bl w:val="nil"/>
            </w:tcBorders>
            <w:shd w:val="clear" w:color="auto" w:fill="FFFFFF"/>
            <w:tcMar>
              <w:top w:w="15" w:type="dxa"/>
              <w:left w:w="15" w:type="dxa"/>
              <w:right w:w="15" w:type="dxa"/>
            </w:tcMar>
            <w:vAlign w:val="center"/>
          </w:tcPr>
          <w:p w14:paraId="13BC8EDD">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BC001联合紫杉醇对比安慰剂联合紫杉醇治疗经一线标准治疗失败的晚期胃或胃食管结合部腺癌的随机、双盲、平行对照Ⅲ期研究</w:t>
            </w:r>
          </w:p>
        </w:tc>
        <w:tc>
          <w:tcPr>
            <w:tcW w:w="3765" w:type="dxa"/>
            <w:tcBorders>
              <w:tl2br w:val="nil"/>
              <w:tr2bl w:val="nil"/>
            </w:tcBorders>
            <w:shd w:val="clear" w:color="auto" w:fill="FFFFFF"/>
            <w:tcMar>
              <w:top w:w="15" w:type="dxa"/>
              <w:left w:w="15" w:type="dxa"/>
              <w:right w:w="15" w:type="dxa"/>
            </w:tcMar>
            <w:vAlign w:val="center"/>
          </w:tcPr>
          <w:p w14:paraId="2B8DAD73">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经过组织病理学或细胞病理学证实的既往接受含铂类和/或氟尿嘧啶类的一线标准治疗后疾病进展或无法耐受一线治疗的晚期胃癌或胃食管结合部腺癌患者</w:t>
            </w:r>
          </w:p>
        </w:tc>
        <w:tc>
          <w:tcPr>
            <w:tcW w:w="1590" w:type="dxa"/>
            <w:tcBorders>
              <w:tl2br w:val="nil"/>
              <w:tr2bl w:val="nil"/>
            </w:tcBorders>
            <w:shd w:val="clear" w:color="auto" w:fill="FFFFFF"/>
            <w:tcMar>
              <w:top w:w="15" w:type="dxa"/>
              <w:left w:w="15" w:type="dxa"/>
              <w:right w:w="15" w:type="dxa"/>
            </w:tcMar>
            <w:vAlign w:val="center"/>
          </w:tcPr>
          <w:p w14:paraId="2F4A648D">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胃与小肠外科</w:t>
            </w:r>
          </w:p>
        </w:tc>
        <w:tc>
          <w:tcPr>
            <w:tcW w:w="2235" w:type="dxa"/>
            <w:tcBorders>
              <w:tl2br w:val="nil"/>
              <w:tr2bl w:val="nil"/>
            </w:tcBorders>
            <w:shd w:val="clear" w:color="auto" w:fill="FFFFFF"/>
            <w:tcMar>
              <w:top w:w="15" w:type="dxa"/>
              <w:left w:w="15" w:type="dxa"/>
              <w:right w:w="15" w:type="dxa"/>
            </w:tcMar>
            <w:vAlign w:val="center"/>
          </w:tcPr>
          <w:p w14:paraId="0FEA0831">
            <w:pPr>
              <w:keepNext w:val="0"/>
              <w:keepLines w:val="0"/>
              <w:widowControl/>
              <w:suppressLineNumbers w:val="0"/>
              <w:snapToGrid w:val="0"/>
              <w:jc w:val="center"/>
              <w:textAlignment w:val="center"/>
              <w:rPr>
                <w:rFonts w:hint="eastAsia" w:ascii="宋体" w:hAnsi="宋体" w:eastAsia="宋体" w:cs="宋体"/>
                <w:color w:val="0000FF"/>
                <w:kern w:val="0"/>
                <w:sz w:val="22"/>
                <w:szCs w:val="20"/>
                <w:lang w:bidi="ar"/>
              </w:rPr>
            </w:pPr>
            <w:r>
              <w:rPr>
                <w:rFonts w:hint="eastAsia" w:ascii="宋体" w:hAnsi="宋体" w:eastAsia="宋体" w:cs="宋体"/>
                <w:i w:val="0"/>
                <w:iCs w:val="0"/>
                <w:color w:val="000000"/>
                <w:kern w:val="0"/>
                <w:sz w:val="22"/>
                <w:szCs w:val="22"/>
                <w:u w:val="none"/>
                <w:lang w:val="en-US" w:eastAsia="zh-CN" w:bidi="ar"/>
              </w:rPr>
              <w:t>杨昌龙：19987161760</w:t>
            </w:r>
          </w:p>
        </w:tc>
        <w:tc>
          <w:tcPr>
            <w:tcW w:w="1754" w:type="dxa"/>
            <w:tcBorders>
              <w:tl2br w:val="nil"/>
              <w:tr2bl w:val="nil"/>
            </w:tcBorders>
            <w:shd w:val="clear" w:color="auto" w:fill="FFFFFF"/>
            <w:tcMar>
              <w:top w:w="15" w:type="dxa"/>
              <w:left w:w="15" w:type="dxa"/>
              <w:right w:w="15" w:type="dxa"/>
            </w:tcMar>
            <w:vAlign w:val="center"/>
          </w:tcPr>
          <w:p w14:paraId="617DA9A7">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"F:\\2025年第二季度临床试验项目入排标准\\31.在既往经抗PD-1PD-L1 单抗治疗且经含铂化疗治疗失败的局部晚期或转移性EGFR 野生型非小细胞肺癌患者中对比BL-B01D1 与多西他赛的III 期随机对照临床研究.pdf"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35</w:t>
            </w:r>
          </w:p>
        </w:tc>
      </w:tr>
      <w:tr w14:paraId="5373270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248AFB5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5582" w:type="dxa"/>
            <w:tcBorders>
              <w:tl2br w:val="nil"/>
              <w:tr2bl w:val="nil"/>
            </w:tcBorders>
            <w:shd w:val="clear" w:color="auto" w:fill="FFFFFF"/>
            <w:tcMar>
              <w:top w:w="15" w:type="dxa"/>
              <w:left w:w="15" w:type="dxa"/>
              <w:right w:w="15" w:type="dxa"/>
            </w:tcMar>
            <w:vAlign w:val="center"/>
          </w:tcPr>
          <w:p w14:paraId="10E5A4A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注射用多西他赛（白蛋白结合型）对比泰索帝</w:t>
            </w:r>
            <w:r>
              <w:rPr>
                <w:rFonts w:ascii="宋体"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治疗既往一线治疗失败的局部晚期或转移性胃腺癌或胃食管结合部腺癌的多中心、随机、开放、阳性对照</w:t>
            </w:r>
            <w:r>
              <w:rPr>
                <w:rFonts w:ascii="宋体" w:hAnsi="Arial" w:eastAsia="宋体" w:cs="Arial"/>
                <w:i w:val="0"/>
                <w:iCs w:val="0"/>
                <w:color w:val="000000"/>
                <w:kern w:val="0"/>
                <w:sz w:val="22"/>
                <w:szCs w:val="22"/>
                <w:u w:val="none"/>
                <w:lang w:val="en-US" w:eastAsia="zh-CN" w:bidi="ar"/>
              </w:rPr>
              <w:t>III</w:t>
            </w:r>
            <w:r>
              <w:rPr>
                <w:rFonts w:hint="eastAsia" w:ascii="宋体" w:hAnsi="宋体" w:eastAsia="宋体" w:cs="宋体"/>
                <w:i w:val="0"/>
                <w:iCs w:val="0"/>
                <w:color w:val="000000"/>
                <w:kern w:val="0"/>
                <w:sz w:val="22"/>
                <w:szCs w:val="22"/>
                <w:u w:val="none"/>
                <w:lang w:val="en-US" w:eastAsia="zh-CN" w:bidi="ar"/>
              </w:rPr>
              <w:t>期临床研究</w:t>
            </w:r>
          </w:p>
        </w:tc>
        <w:tc>
          <w:tcPr>
            <w:tcW w:w="3765" w:type="dxa"/>
            <w:tcBorders>
              <w:tl2br w:val="nil"/>
              <w:tr2bl w:val="nil"/>
            </w:tcBorders>
            <w:shd w:val="clear" w:color="auto" w:fill="FFFFFF"/>
            <w:tcMar>
              <w:top w:w="15" w:type="dxa"/>
              <w:left w:w="15" w:type="dxa"/>
              <w:right w:w="15" w:type="dxa"/>
            </w:tcMar>
            <w:vAlign w:val="center"/>
          </w:tcPr>
          <w:p w14:paraId="0F2CD1BA">
            <w:pPr>
              <w:keepNext w:val="0"/>
              <w:keepLines w:val="0"/>
              <w:widowControl/>
              <w:suppressLineNumbers w:val="0"/>
              <w:snapToGrid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既往一线治疗失败的局部晚期或转移性胃腺癌或胃食管结合部腺癌</w:t>
            </w:r>
          </w:p>
        </w:tc>
        <w:tc>
          <w:tcPr>
            <w:tcW w:w="1590" w:type="dxa"/>
            <w:tcBorders>
              <w:tl2br w:val="nil"/>
              <w:tr2bl w:val="nil"/>
            </w:tcBorders>
            <w:shd w:val="clear" w:color="auto" w:fill="FFFFFF"/>
            <w:tcMar>
              <w:top w:w="15" w:type="dxa"/>
              <w:left w:w="15" w:type="dxa"/>
              <w:right w:w="15" w:type="dxa"/>
            </w:tcMar>
            <w:vAlign w:val="center"/>
          </w:tcPr>
          <w:p w14:paraId="15577A7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胃与小肠外科</w:t>
            </w:r>
          </w:p>
        </w:tc>
        <w:tc>
          <w:tcPr>
            <w:tcW w:w="2235" w:type="dxa"/>
            <w:tcBorders>
              <w:tl2br w:val="nil"/>
              <w:tr2bl w:val="nil"/>
            </w:tcBorders>
            <w:shd w:val="clear" w:color="auto" w:fill="FFFFFF"/>
            <w:tcMar>
              <w:top w:w="15" w:type="dxa"/>
              <w:left w:w="15" w:type="dxa"/>
              <w:right w:w="15" w:type="dxa"/>
            </w:tcMar>
            <w:vAlign w:val="center"/>
          </w:tcPr>
          <w:p w14:paraId="599E941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杨昌龙：19987161760</w:t>
            </w:r>
          </w:p>
        </w:tc>
        <w:tc>
          <w:tcPr>
            <w:tcW w:w="1754" w:type="dxa"/>
            <w:tcBorders>
              <w:tl2br w:val="nil"/>
              <w:tr2bl w:val="nil"/>
            </w:tcBorders>
            <w:shd w:val="clear" w:color="auto" w:fill="FFFFFF"/>
            <w:tcMar>
              <w:top w:w="15" w:type="dxa"/>
              <w:left w:w="15" w:type="dxa"/>
              <w:right w:w="15" w:type="dxa"/>
            </w:tcMar>
            <w:vAlign w:val="center"/>
          </w:tcPr>
          <w:p w14:paraId="4094C5A4">
            <w:pPr>
              <w:keepNext w:val="0"/>
              <w:keepLines w:val="0"/>
              <w:widowControl/>
              <w:suppressLineNumbers w:val="0"/>
              <w:snapToGrid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32.一项评估谷美替尼联合注射用多西他赛（白蛋白结合型）对比多西他赛治疗局部晚期复发或远处转移的MET过表达非小细胞肺癌患者的安全性、耐受性和有效性的随机、对照、开放II期临床研究.docx"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36</w:t>
            </w:r>
          </w:p>
        </w:tc>
      </w:tr>
      <w:tr w14:paraId="6948D4C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1BCB10F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582" w:type="dxa"/>
            <w:tcBorders>
              <w:tl2br w:val="nil"/>
              <w:tr2bl w:val="nil"/>
            </w:tcBorders>
            <w:shd w:val="clear" w:color="auto" w:fill="FFFFFF"/>
            <w:tcMar>
              <w:top w:w="15" w:type="dxa"/>
              <w:left w:w="15" w:type="dxa"/>
              <w:right w:w="15" w:type="dxa"/>
            </w:tcMar>
            <w:vAlign w:val="center"/>
          </w:tcPr>
          <w:p w14:paraId="682A485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莱洛替尼对比研究者选择的化疗治疗至少经二线治疗失败、EGFR过表达的局部晚期或转移性食管鳞癌的随机、对照、开放性、多中心Ⅲ期临床试验</w:t>
            </w:r>
          </w:p>
        </w:tc>
        <w:tc>
          <w:tcPr>
            <w:tcW w:w="3765" w:type="dxa"/>
            <w:tcBorders>
              <w:tl2br w:val="nil"/>
              <w:tr2bl w:val="nil"/>
            </w:tcBorders>
            <w:shd w:val="clear" w:color="auto" w:fill="FFFFFF"/>
            <w:tcMar>
              <w:top w:w="15" w:type="dxa"/>
              <w:left w:w="15" w:type="dxa"/>
              <w:right w:w="15" w:type="dxa"/>
            </w:tcMar>
            <w:vAlign w:val="center"/>
          </w:tcPr>
          <w:p w14:paraId="376C6978">
            <w:pPr>
              <w:keepNext w:val="0"/>
              <w:keepLines w:val="0"/>
              <w:widowControl/>
              <w:suppressLineNumbers w:val="0"/>
              <w:snapToGrid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食管鳞癌</w:t>
            </w:r>
          </w:p>
        </w:tc>
        <w:tc>
          <w:tcPr>
            <w:tcW w:w="1590" w:type="dxa"/>
            <w:tcBorders>
              <w:tl2br w:val="nil"/>
              <w:tr2bl w:val="nil"/>
            </w:tcBorders>
            <w:shd w:val="clear" w:color="auto" w:fill="FFFFFF"/>
            <w:tcMar>
              <w:top w:w="15" w:type="dxa"/>
              <w:left w:w="15" w:type="dxa"/>
              <w:right w:w="15" w:type="dxa"/>
            </w:tcMar>
            <w:vAlign w:val="center"/>
          </w:tcPr>
          <w:p w14:paraId="483E8514">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胸外二科</w:t>
            </w:r>
          </w:p>
        </w:tc>
        <w:tc>
          <w:tcPr>
            <w:tcW w:w="2235" w:type="dxa"/>
            <w:tcBorders>
              <w:tl2br w:val="nil"/>
              <w:tr2bl w:val="nil"/>
            </w:tcBorders>
            <w:shd w:val="clear" w:color="auto" w:fill="FFFFFF"/>
            <w:tcMar>
              <w:top w:w="15" w:type="dxa"/>
              <w:left w:w="15" w:type="dxa"/>
              <w:right w:w="15" w:type="dxa"/>
            </w:tcMar>
            <w:vAlign w:val="center"/>
          </w:tcPr>
          <w:p w14:paraId="4314C6E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贾顺予予：15812072116</w:t>
            </w:r>
          </w:p>
        </w:tc>
        <w:tc>
          <w:tcPr>
            <w:tcW w:w="1754" w:type="dxa"/>
            <w:tcBorders>
              <w:tl2br w:val="nil"/>
              <w:tr2bl w:val="nil"/>
            </w:tcBorders>
            <w:shd w:val="clear" w:color="auto" w:fill="FFFFFF"/>
            <w:tcMar>
              <w:top w:w="15" w:type="dxa"/>
              <w:left w:w="15" w:type="dxa"/>
              <w:right w:w="15" w:type="dxa"/>
            </w:tcMar>
            <w:vAlign w:val="center"/>
          </w:tcPr>
          <w:p w14:paraId="0E1BCD00">
            <w:pPr>
              <w:keepNext w:val="0"/>
              <w:keepLines w:val="0"/>
              <w:widowControl/>
              <w:suppressLineNumbers w:val="0"/>
              <w:snapToGrid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"F:\\2025年第二季度临床试验项目入排标准\\33.评价BL-B01D1联合PD-1单抗治疗局部晚期或转移性非小细胞肺癌及鼻咽癌等实体瘤患者的有效性和安全性的II期临床研究.pdf"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37</w:t>
            </w:r>
          </w:p>
        </w:tc>
      </w:tr>
      <w:tr w14:paraId="5BA7FDE5">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7C540F1E">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5582" w:type="dxa"/>
            <w:tcBorders>
              <w:tl2br w:val="nil"/>
              <w:tr2bl w:val="nil"/>
            </w:tcBorders>
            <w:shd w:val="clear" w:color="auto" w:fill="FFFFFF"/>
            <w:tcMar>
              <w:top w:w="15" w:type="dxa"/>
              <w:left w:w="15" w:type="dxa"/>
              <w:right w:w="15" w:type="dxa"/>
            </w:tcMar>
            <w:vAlign w:val="center"/>
          </w:tcPr>
          <w:p w14:paraId="7B6421B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Arial" w:eastAsia="宋体" w:cs="Arial"/>
                <w:i w:val="0"/>
                <w:iCs w:val="0"/>
                <w:color w:val="000000"/>
                <w:kern w:val="0"/>
                <w:sz w:val="22"/>
                <w:szCs w:val="22"/>
                <w:u w:val="none"/>
                <w:lang w:val="en-US" w:eastAsia="zh-CN" w:bidi="ar"/>
              </w:rPr>
              <w:t>QL1706</w:t>
            </w:r>
            <w:r>
              <w:rPr>
                <w:rFonts w:hint="eastAsia" w:ascii="宋体" w:hAnsi="宋体" w:eastAsia="宋体" w:cs="宋体"/>
                <w:i w:val="0"/>
                <w:iCs w:val="0"/>
                <w:color w:val="000000"/>
                <w:kern w:val="0"/>
                <w:sz w:val="22"/>
                <w:szCs w:val="22"/>
                <w:u w:val="none"/>
                <w:lang w:val="en-US" w:eastAsia="zh-CN" w:bidi="ar"/>
              </w:rPr>
              <w:t xml:space="preserve">注射液联合贝伐珠单抗及 </w:t>
            </w:r>
            <w:r>
              <w:rPr>
                <w:rFonts w:ascii="宋体" w:hAnsi="Arial" w:eastAsia="宋体" w:cs="Arial"/>
                <w:i w:val="0"/>
                <w:iCs w:val="0"/>
                <w:color w:val="000000"/>
                <w:kern w:val="0"/>
                <w:sz w:val="22"/>
                <w:szCs w:val="22"/>
                <w:u w:val="none"/>
                <w:lang w:val="en-US" w:eastAsia="zh-CN" w:bidi="ar"/>
              </w:rPr>
              <w:t>XELOX</w:t>
            </w:r>
            <w:r>
              <w:rPr>
                <w:rFonts w:hint="eastAsia" w:ascii="宋体" w:hAnsi="宋体" w:eastAsia="宋体" w:cs="宋体"/>
                <w:i w:val="0"/>
                <w:iCs w:val="0"/>
                <w:color w:val="000000"/>
                <w:kern w:val="0"/>
                <w:sz w:val="22"/>
                <w:szCs w:val="22"/>
                <w:u w:val="none"/>
                <w:lang w:val="en-US" w:eastAsia="zh-CN" w:bidi="ar"/>
              </w:rPr>
              <w:t>对比安慰剂联合贝伐珠单抗及</w:t>
            </w:r>
            <w:r>
              <w:rPr>
                <w:rFonts w:ascii="宋体" w:hAnsi="Arial" w:eastAsia="宋体" w:cs="Arial"/>
                <w:i w:val="0"/>
                <w:iCs w:val="0"/>
                <w:color w:val="000000"/>
                <w:kern w:val="0"/>
                <w:sz w:val="22"/>
                <w:szCs w:val="22"/>
                <w:u w:val="none"/>
                <w:lang w:val="en-US" w:eastAsia="zh-CN" w:bidi="ar"/>
              </w:rPr>
              <w:t>XELOX</w:t>
            </w:r>
            <w:r>
              <w:rPr>
                <w:rFonts w:hint="eastAsia" w:ascii="宋体" w:hAnsi="宋体" w:eastAsia="宋体" w:cs="宋体"/>
                <w:i w:val="0"/>
                <w:iCs w:val="0"/>
                <w:color w:val="000000"/>
                <w:kern w:val="0"/>
                <w:sz w:val="22"/>
                <w:szCs w:val="22"/>
                <w:u w:val="none"/>
                <w:lang w:val="en-US" w:eastAsia="zh-CN" w:bidi="ar"/>
              </w:rPr>
              <w:t>一线治疗不可切除的转移性结直肠癌</w:t>
            </w:r>
            <w:r>
              <w:rPr>
                <w:rFonts w:ascii="宋体" w:hAnsi="Arial" w:eastAsia="宋体" w:cs="Arial"/>
                <w:i w:val="0"/>
                <w:iCs w:val="0"/>
                <w:color w:val="000000"/>
                <w:kern w:val="0"/>
                <w:sz w:val="22"/>
                <w:szCs w:val="22"/>
                <w:u w:val="none"/>
                <w:lang w:val="en-US" w:eastAsia="zh-CN" w:bidi="ar"/>
              </w:rPr>
              <w:t>(mCRC)</w:t>
            </w:r>
            <w:r>
              <w:rPr>
                <w:rFonts w:hint="eastAsia" w:ascii="宋体" w:hAnsi="宋体" w:eastAsia="宋体" w:cs="宋体"/>
                <w:i w:val="0"/>
                <w:iCs w:val="0"/>
                <w:color w:val="000000"/>
                <w:kern w:val="0"/>
                <w:sz w:val="22"/>
                <w:szCs w:val="22"/>
                <w:u w:val="none"/>
                <w:lang w:val="en-US" w:eastAsia="zh-CN" w:bidi="ar"/>
              </w:rPr>
              <w:t>患者的随机、双盲、多中心的Ⅲ期临床研究</w:t>
            </w:r>
          </w:p>
        </w:tc>
        <w:tc>
          <w:tcPr>
            <w:tcW w:w="3765" w:type="dxa"/>
            <w:tcBorders>
              <w:tl2br w:val="nil"/>
              <w:tr2bl w:val="nil"/>
            </w:tcBorders>
            <w:shd w:val="clear" w:color="auto" w:fill="FFFFFF"/>
            <w:tcMar>
              <w:top w:w="15" w:type="dxa"/>
              <w:left w:w="15" w:type="dxa"/>
              <w:right w:w="15" w:type="dxa"/>
            </w:tcMar>
            <w:vAlign w:val="center"/>
          </w:tcPr>
          <w:p w14:paraId="5A260EA8">
            <w:pPr>
              <w:keepNext w:val="0"/>
              <w:keepLines w:val="0"/>
              <w:widowControl/>
              <w:suppressLineNumbers w:val="0"/>
              <w:snapToGrid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转移性结直肠癌</w:t>
            </w:r>
          </w:p>
        </w:tc>
        <w:tc>
          <w:tcPr>
            <w:tcW w:w="1590" w:type="dxa"/>
            <w:tcBorders>
              <w:tl2br w:val="nil"/>
              <w:tr2bl w:val="nil"/>
            </w:tcBorders>
            <w:shd w:val="clear" w:color="auto" w:fill="FFFFFF"/>
            <w:tcMar>
              <w:top w:w="15" w:type="dxa"/>
              <w:left w:w="15" w:type="dxa"/>
              <w:right w:w="15" w:type="dxa"/>
            </w:tcMar>
            <w:vAlign w:val="center"/>
          </w:tcPr>
          <w:p w14:paraId="19CE744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结直肠外科</w:t>
            </w:r>
          </w:p>
        </w:tc>
        <w:tc>
          <w:tcPr>
            <w:tcW w:w="2235" w:type="dxa"/>
            <w:tcBorders>
              <w:tl2br w:val="nil"/>
              <w:tr2bl w:val="nil"/>
            </w:tcBorders>
            <w:shd w:val="clear" w:color="auto" w:fill="FFFFFF"/>
            <w:tcMar>
              <w:top w:w="15" w:type="dxa"/>
              <w:left w:w="15" w:type="dxa"/>
              <w:right w:w="15" w:type="dxa"/>
            </w:tcMar>
            <w:vAlign w:val="center"/>
          </w:tcPr>
          <w:p w14:paraId="0163F91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李丽：13708470890</w:t>
            </w:r>
          </w:p>
        </w:tc>
        <w:tc>
          <w:tcPr>
            <w:tcW w:w="1754" w:type="dxa"/>
            <w:tcBorders>
              <w:tl2br w:val="nil"/>
              <w:tr2bl w:val="nil"/>
            </w:tcBorders>
            <w:shd w:val="clear" w:color="auto" w:fill="FFFFFF"/>
            <w:tcMar>
              <w:top w:w="15" w:type="dxa"/>
              <w:left w:w="15" w:type="dxa"/>
              <w:right w:w="15" w:type="dxa"/>
            </w:tcMar>
            <w:vAlign w:val="center"/>
          </w:tcPr>
          <w:p w14:paraId="33C22564">
            <w:pPr>
              <w:keepNext w:val="0"/>
              <w:keepLines w:val="0"/>
              <w:widowControl/>
              <w:suppressLineNumbers w:val="0"/>
              <w:snapToGrid w:val="0"/>
              <w:jc w:val="center"/>
              <w:textAlignment w:val="center"/>
              <w:rPr>
                <w:rFonts w:hint="default" w:ascii="宋体" w:hAnsi="宋体" w:eastAsia="宋体" w:cs="宋体"/>
                <w:i w:val="0"/>
                <w:iCs w:val="0"/>
                <w:color w:val="auto"/>
                <w:kern w:val="0"/>
                <w:sz w:val="22"/>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"F:\\2025年第二季度临床试验项目入排标准\\34.评估注射用TQB2922治疗晚期恶性肿瘤受试者的I期临床研究.pdf"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38</w:t>
            </w:r>
          </w:p>
        </w:tc>
      </w:tr>
    </w:tbl>
    <w:p w14:paraId="744437D0"/>
    <w:p w14:paraId="6FACBAC1">
      <w:pPr>
        <w:tabs>
          <w:tab w:val="left" w:pos="8322"/>
        </w:tabs>
        <w:bidi w:val="0"/>
        <w:jc w:val="left"/>
        <w:rPr>
          <w:rFonts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p>
    <w:sectPr>
      <w:footerReference r:id="rId3" w:type="default"/>
      <w:pgSz w:w="16838" w:h="11906" w:orient="landscape"/>
      <w:pgMar w:top="1519" w:right="1440" w:bottom="1633"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3D4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EBA0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EEBA0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C7FF5"/>
    <w:rsid w:val="07D337E6"/>
    <w:rsid w:val="455C7FF5"/>
    <w:rsid w:val="494A394A"/>
    <w:rsid w:val="6AA83F67"/>
    <w:rsid w:val="734C18DA"/>
    <w:rsid w:val="797F45E0"/>
    <w:rsid w:val="7A7A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font31"/>
    <w:basedOn w:val="5"/>
    <w:qFormat/>
    <w:uiPriority w:val="0"/>
    <w:rPr>
      <w:rFonts w:ascii="Arial" w:hAnsi="Arial" w:cs="Arial"/>
      <w:color w:val="000000"/>
      <w:sz w:val="22"/>
      <w:szCs w:val="22"/>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1054</Words>
  <Characters>1290</Characters>
  <Lines>0</Lines>
  <Paragraphs>0</Paragraphs>
  <TotalTime>3</TotalTime>
  <ScaleCrop>false</ScaleCrop>
  <LinksUpToDate>false</LinksUpToDate>
  <CharactersWithSpaces>1294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2025-10-24T04:12:00Z</dcterms:created>
  <dc:creator>李远丽</dc:creator>
  <cp:lastModifiedBy>李远丽</cp:lastModifiedBy>
  <dcterms:modified xsi:type="dcterms:W3CDTF">2025-10-24T07:41:55Z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6801A0CFBB7D4502A3D901A5D547E937_13</vt:lpwstr>
  </property>
  <property fmtid="{D5CDD505-2E9C-101B-9397-08002B2CF9AE}" pid="4" name="KSOTemplateDocerSaveRecord">
    <vt:lpwstr>eyJoZGlkIjoiYmIzMGQ1YzRhY2IwOTVhMDE3ZTdmZjIxOWQzZWQ3YjEiLCJ1c2VySWQiOiIzNzg5Mzk2NDYifQ==</vt:lpwstr>
  </property>
</Properties>
</file>