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F74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lang w:val="en-US" w:eastAsia="zh-CN"/>
        </w:rPr>
      </w:pPr>
      <w:r>
        <w:rPr>
          <w:rFonts w:hint="eastAsia" w:ascii="宋体" w:hAnsi="宋体" w:eastAsia="宋体" w:cs="宋体"/>
          <w:b/>
          <w:bCs/>
          <w:i w:val="0"/>
          <w:iCs w:val="0"/>
          <w:color w:val="000000"/>
          <w:sz w:val="36"/>
          <w:szCs w:val="36"/>
          <w:u w:val="none"/>
          <w:lang w:val="en-US" w:eastAsia="zh-CN"/>
        </w:rPr>
        <w:t>正在入组项目列表</w:t>
      </w:r>
    </w:p>
    <w:tbl>
      <w:tblPr>
        <w:tblStyle w:val="2"/>
        <w:tblpPr w:leftFromText="180" w:rightFromText="180" w:vertAnchor="text" w:horzAnchor="page" w:tblpX="819" w:tblpY="637"/>
        <w:tblOverlap w:val="never"/>
        <w:tblW w:w="15163"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1"/>
        <w:gridCol w:w="5407"/>
        <w:gridCol w:w="1725"/>
        <w:gridCol w:w="1425"/>
        <w:gridCol w:w="1780"/>
        <w:gridCol w:w="2263"/>
        <w:gridCol w:w="2002"/>
      </w:tblGrid>
      <w:tr w14:paraId="095F5A1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bottom w:val="single" w:color="000000" w:sz="4" w:space="0"/>
            </w:tcBorders>
            <w:shd w:val="clear" w:color="auto" w:fill="FFFFFF"/>
            <w:noWrap/>
            <w:tcMar>
              <w:top w:w="15" w:type="dxa"/>
              <w:left w:w="15" w:type="dxa"/>
              <w:right w:w="15" w:type="dxa"/>
            </w:tcMar>
            <w:vAlign w:val="center"/>
          </w:tcPr>
          <w:p w14:paraId="3EF13D0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bookmarkStart w:id="0" w:name="OLE_LINK1"/>
          </w:p>
          <w:p w14:paraId="2A10F66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p>
        </w:tc>
        <w:tc>
          <w:tcPr>
            <w:tcW w:w="5407" w:type="dxa"/>
            <w:tcBorders>
              <w:bottom w:val="single" w:color="000000" w:sz="4" w:space="0"/>
            </w:tcBorders>
            <w:shd w:val="clear" w:color="auto" w:fill="FFFFFF"/>
            <w:tcMar>
              <w:top w:w="15" w:type="dxa"/>
              <w:left w:w="15" w:type="dxa"/>
              <w:right w:w="15" w:type="dxa"/>
            </w:tcMar>
            <w:vAlign w:val="center"/>
          </w:tcPr>
          <w:p w14:paraId="7A34A82A">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项目名称</w:t>
            </w:r>
          </w:p>
        </w:tc>
        <w:tc>
          <w:tcPr>
            <w:tcW w:w="1725" w:type="dxa"/>
            <w:tcBorders>
              <w:bottom w:val="single" w:color="000000" w:sz="4" w:space="0"/>
            </w:tcBorders>
            <w:shd w:val="clear" w:color="auto" w:fill="FFFFFF"/>
            <w:tcMar>
              <w:top w:w="15" w:type="dxa"/>
              <w:left w:w="15" w:type="dxa"/>
              <w:right w:w="15" w:type="dxa"/>
            </w:tcMar>
            <w:vAlign w:val="center"/>
          </w:tcPr>
          <w:p w14:paraId="2B3533A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适应症</w:t>
            </w:r>
          </w:p>
        </w:tc>
        <w:tc>
          <w:tcPr>
            <w:tcW w:w="1425" w:type="dxa"/>
            <w:tcBorders>
              <w:bottom w:val="single" w:color="000000" w:sz="4" w:space="0"/>
            </w:tcBorders>
            <w:shd w:val="clear" w:color="auto" w:fill="FFFFFF"/>
            <w:tcMar>
              <w:top w:w="15" w:type="dxa"/>
              <w:left w:w="15" w:type="dxa"/>
              <w:right w:w="15" w:type="dxa"/>
            </w:tcMar>
            <w:vAlign w:val="center"/>
          </w:tcPr>
          <w:p w14:paraId="2259F1D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研究科室</w:t>
            </w:r>
          </w:p>
        </w:tc>
        <w:tc>
          <w:tcPr>
            <w:tcW w:w="1780" w:type="dxa"/>
            <w:tcBorders>
              <w:bottom w:val="single" w:color="000000" w:sz="4" w:space="0"/>
            </w:tcBorders>
            <w:shd w:val="clear" w:color="auto" w:fill="FFFFFF"/>
            <w:tcMar>
              <w:top w:w="15" w:type="dxa"/>
              <w:left w:w="15" w:type="dxa"/>
              <w:right w:w="15" w:type="dxa"/>
            </w:tcMar>
            <w:vAlign w:val="center"/>
          </w:tcPr>
          <w:p w14:paraId="58CDFE81">
            <w:pPr>
              <w:keepNext w:val="0"/>
              <w:keepLines w:val="0"/>
              <w:widowControl/>
              <w:suppressLineNumbers w:val="0"/>
              <w:jc w:val="center"/>
              <w:textAlignment w:val="center"/>
              <w:rPr>
                <w:rFonts w:hint="default" w:ascii="宋体" w:hAnsi="宋体" w:eastAsia="宋体" w:cs="宋体"/>
                <w:b w:val="0"/>
                <w:i w:val="0"/>
                <w:iCs w:val="0"/>
                <w:color w:val="000000"/>
                <w:kern w:val="0"/>
                <w:sz w:val="20"/>
                <w:szCs w:val="20"/>
                <w:u w:val="none"/>
                <w:lang w:val="en-US" w:eastAsia="zh-CN" w:bidi="ar"/>
              </w:rPr>
            </w:pPr>
            <w:r>
              <w:rPr>
                <w:rFonts w:hint="eastAsia" w:ascii="宋体" w:hAnsi="宋体" w:eastAsia="宋体" w:cs="宋体"/>
                <w:b w:val="0"/>
                <w:i w:val="0"/>
                <w:iCs w:val="0"/>
                <w:color w:val="000000"/>
                <w:kern w:val="0"/>
                <w:sz w:val="20"/>
                <w:szCs w:val="20"/>
                <w:u w:val="none"/>
                <w:lang w:val="en-US" w:eastAsia="zh-CN" w:bidi="ar"/>
              </w:rPr>
              <w:t>联系人员及联系电话</w:t>
            </w:r>
          </w:p>
        </w:tc>
        <w:tc>
          <w:tcPr>
            <w:tcW w:w="2263" w:type="dxa"/>
            <w:tcBorders>
              <w:bottom w:val="single" w:color="000000" w:sz="4" w:space="0"/>
            </w:tcBorders>
            <w:shd w:val="clear" w:color="auto" w:fill="FFFFFF"/>
            <w:tcMar>
              <w:top w:w="15" w:type="dxa"/>
              <w:left w:w="15" w:type="dxa"/>
              <w:right w:w="15" w:type="dxa"/>
            </w:tcMar>
            <w:vAlign w:val="center"/>
          </w:tcPr>
          <w:p w14:paraId="68FB19D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主要入排标准</w:t>
            </w:r>
          </w:p>
        </w:tc>
        <w:tc>
          <w:tcPr>
            <w:tcW w:w="2002" w:type="dxa"/>
            <w:tcBorders>
              <w:bottom w:val="single" w:color="000000" w:sz="4" w:space="0"/>
            </w:tcBorders>
            <w:shd w:val="clear" w:color="auto" w:fill="FFFFFF"/>
            <w:noWrap/>
            <w:tcMar>
              <w:top w:w="15" w:type="dxa"/>
              <w:left w:w="15" w:type="dxa"/>
              <w:right w:w="15" w:type="dxa"/>
            </w:tcMar>
            <w:vAlign w:val="center"/>
          </w:tcPr>
          <w:p w14:paraId="6838CAD7">
            <w:pPr>
              <w:keepNext w:val="0"/>
              <w:keepLines w:val="0"/>
              <w:widowControl/>
              <w:suppressLineNumbers w:val="0"/>
              <w:jc w:val="left"/>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备注</w:t>
            </w:r>
          </w:p>
        </w:tc>
      </w:tr>
      <w:tr w14:paraId="16A5E5D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op w:val="single" w:color="000000" w:sz="4" w:space="0"/>
              <w:tl2br w:val="nil"/>
              <w:tr2bl w:val="nil"/>
            </w:tcBorders>
            <w:shd w:val="clear" w:color="auto" w:fill="FFFFFF"/>
            <w:noWrap/>
            <w:tcMar>
              <w:top w:w="15" w:type="dxa"/>
              <w:left w:w="15" w:type="dxa"/>
              <w:right w:w="15" w:type="dxa"/>
            </w:tcMar>
            <w:vAlign w:val="center"/>
          </w:tcPr>
          <w:p w14:paraId="75A57422">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7" w:type="dxa"/>
            <w:tcBorders>
              <w:top w:val="single" w:color="000000" w:sz="4" w:space="0"/>
              <w:tl2br w:val="nil"/>
              <w:tr2bl w:val="nil"/>
            </w:tcBorders>
            <w:shd w:val="clear" w:color="auto" w:fill="FFFFFF"/>
            <w:tcMar>
              <w:top w:w="15" w:type="dxa"/>
              <w:left w:w="15" w:type="dxa"/>
              <w:right w:w="15" w:type="dxa"/>
            </w:tcMar>
            <w:vAlign w:val="center"/>
          </w:tcPr>
          <w:p w14:paraId="4C6CE1F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莱洛替尼对比研究者选择的化疗治疗至少经二线治疗失败、EGFR过表达的局部晚期或转移性食管鳞癌的随机、对照、开放性、多中心Ⅲ期临床试验</w:t>
            </w:r>
          </w:p>
        </w:tc>
        <w:tc>
          <w:tcPr>
            <w:tcW w:w="1725" w:type="dxa"/>
            <w:tcBorders>
              <w:top w:val="single" w:color="000000" w:sz="4" w:space="0"/>
              <w:tl2br w:val="nil"/>
              <w:tr2bl w:val="nil"/>
            </w:tcBorders>
            <w:shd w:val="clear" w:color="auto" w:fill="FFFFFF"/>
            <w:tcMar>
              <w:top w:w="15" w:type="dxa"/>
              <w:left w:w="15" w:type="dxa"/>
              <w:right w:w="15" w:type="dxa"/>
            </w:tcMar>
            <w:vAlign w:val="center"/>
          </w:tcPr>
          <w:p w14:paraId="1F1A7D4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食管鳞癌</w:t>
            </w:r>
          </w:p>
        </w:tc>
        <w:tc>
          <w:tcPr>
            <w:tcW w:w="1425" w:type="dxa"/>
            <w:tcBorders>
              <w:top w:val="single" w:color="000000" w:sz="4" w:space="0"/>
              <w:tl2br w:val="nil"/>
              <w:tr2bl w:val="nil"/>
            </w:tcBorders>
            <w:shd w:val="clear" w:color="auto" w:fill="FFFFFF"/>
            <w:tcMar>
              <w:top w:w="15" w:type="dxa"/>
              <w:left w:w="15" w:type="dxa"/>
              <w:right w:w="15" w:type="dxa"/>
            </w:tcMar>
            <w:vAlign w:val="center"/>
          </w:tcPr>
          <w:p w14:paraId="32D2313F">
            <w:pPr>
              <w:keepNext w:val="0"/>
              <w:keepLines w:val="0"/>
              <w:widowControl/>
              <w:suppressLineNumbers w:val="0"/>
              <w:jc w:val="center"/>
              <w:textAlignment w:val="center"/>
              <w:rPr>
                <w:rFonts w:hint="eastAsia" w:ascii="宋体" w:hAnsi="宋体" w:eastAsia="宋体" w:cs="宋体"/>
                <w:b w:val="0"/>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op w:val="single" w:color="000000" w:sz="4" w:space="0"/>
              <w:tl2br w:val="nil"/>
              <w:tr2bl w:val="nil"/>
            </w:tcBorders>
            <w:shd w:val="clear" w:color="auto" w:fill="FFFFFF"/>
            <w:tcMar>
              <w:top w:w="15" w:type="dxa"/>
              <w:left w:w="15" w:type="dxa"/>
              <w:right w:w="15" w:type="dxa"/>
            </w:tcMar>
            <w:vAlign w:val="center"/>
          </w:tcPr>
          <w:p w14:paraId="259750AF">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李高峰</w:t>
            </w:r>
          </w:p>
        </w:tc>
        <w:tc>
          <w:tcPr>
            <w:tcW w:w="2263" w:type="dxa"/>
            <w:tcBorders>
              <w:top w:val="single" w:color="000000" w:sz="4" w:space="0"/>
              <w:tl2br w:val="nil"/>
              <w:tr2bl w:val="nil"/>
            </w:tcBorders>
            <w:shd w:val="clear" w:color="auto" w:fill="FFFFFF"/>
            <w:tcMar>
              <w:top w:w="15" w:type="dxa"/>
              <w:left w:w="15" w:type="dxa"/>
              <w:right w:w="15" w:type="dxa"/>
            </w:tcMar>
            <w:vAlign w:val="center"/>
          </w:tcPr>
          <w:p w14:paraId="472E68B6">
            <w:pPr>
              <w:keepNext w:val="0"/>
              <w:keepLines w:val="0"/>
              <w:widowControl/>
              <w:suppressLineNumbers w:val="0"/>
              <w:jc w:val="center"/>
              <w:textAlignment w:val="center"/>
              <w:rPr>
                <w:rFonts w:hint="eastAsia" w:ascii="宋体" w:hAnsi="宋体" w:eastAsia="宋体" w:cs="宋体"/>
                <w:b w:val="0"/>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op w:val="single" w:color="000000" w:sz="4" w:space="0"/>
              <w:tl2br w:val="nil"/>
              <w:tr2bl w:val="nil"/>
            </w:tcBorders>
            <w:shd w:val="clear" w:color="auto" w:fill="FFFFFF"/>
            <w:noWrap/>
            <w:tcMar>
              <w:top w:w="15" w:type="dxa"/>
              <w:left w:w="15" w:type="dxa"/>
              <w:right w:w="15" w:type="dxa"/>
            </w:tcMar>
            <w:vAlign w:val="center"/>
          </w:tcPr>
          <w:p w14:paraId="6BE75FBC">
            <w:pPr>
              <w:jc w:val="center"/>
              <w:rPr>
                <w:rFonts w:hint="eastAsia" w:ascii="宋体" w:hAnsi="宋体" w:eastAsia="宋体" w:cs="宋体"/>
                <w:b w:val="0"/>
                <w:i w:val="0"/>
                <w:iCs w:val="0"/>
                <w:color w:val="000000"/>
                <w:sz w:val="22"/>
                <w:szCs w:val="22"/>
                <w:u w:val="none"/>
              </w:rPr>
            </w:pPr>
          </w:p>
        </w:tc>
      </w:tr>
      <w:tr w14:paraId="24BCE2E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34BB4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407" w:type="dxa"/>
            <w:tcBorders>
              <w:tl2br w:val="nil"/>
              <w:tr2bl w:val="nil"/>
            </w:tcBorders>
            <w:shd w:val="clear" w:color="auto" w:fill="FFFFFF"/>
            <w:tcMar>
              <w:top w:w="15" w:type="dxa"/>
              <w:left w:w="15" w:type="dxa"/>
              <w:right w:w="15" w:type="dxa"/>
            </w:tcMar>
            <w:vAlign w:val="center"/>
          </w:tcPr>
          <w:p w14:paraId="3BE73D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重组人促甲状腺激素（rhTSH）用于分化型甲状腺癌患者术后辅助放射性碘清甲治疗的有效性和安全性的随机、开放、多中心、平行对照的III期临床研究     </w:t>
            </w:r>
          </w:p>
        </w:tc>
        <w:tc>
          <w:tcPr>
            <w:tcW w:w="1725" w:type="dxa"/>
            <w:tcBorders>
              <w:tl2br w:val="nil"/>
              <w:tr2bl w:val="nil"/>
            </w:tcBorders>
            <w:shd w:val="clear" w:color="auto" w:fill="FFFFFF"/>
            <w:tcMar>
              <w:top w:w="15" w:type="dxa"/>
              <w:left w:w="15" w:type="dxa"/>
              <w:right w:w="15" w:type="dxa"/>
            </w:tcMar>
            <w:vAlign w:val="center"/>
          </w:tcPr>
          <w:p w14:paraId="3B874F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甲状腺癌</w:t>
            </w:r>
          </w:p>
        </w:tc>
        <w:tc>
          <w:tcPr>
            <w:tcW w:w="1425" w:type="dxa"/>
            <w:tcBorders>
              <w:tl2br w:val="nil"/>
              <w:tr2bl w:val="nil"/>
            </w:tcBorders>
            <w:shd w:val="clear" w:color="auto" w:fill="FFFFFF"/>
            <w:tcMar>
              <w:top w:w="15" w:type="dxa"/>
              <w:left w:w="15" w:type="dxa"/>
              <w:right w:w="15" w:type="dxa"/>
            </w:tcMar>
            <w:vAlign w:val="center"/>
          </w:tcPr>
          <w:p w14:paraId="12B583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核医学科</w:t>
            </w:r>
          </w:p>
        </w:tc>
        <w:tc>
          <w:tcPr>
            <w:tcW w:w="1780" w:type="dxa"/>
            <w:tcBorders>
              <w:tl2br w:val="nil"/>
              <w:tr2bl w:val="nil"/>
            </w:tcBorders>
            <w:shd w:val="clear" w:color="auto" w:fill="FFFFFF"/>
            <w:tcMar>
              <w:top w:w="15" w:type="dxa"/>
              <w:left w:w="15" w:type="dxa"/>
              <w:right w:w="15" w:type="dxa"/>
            </w:tcMar>
            <w:vAlign w:val="center"/>
          </w:tcPr>
          <w:p w14:paraId="4DF85A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邓智勇 </w:t>
            </w:r>
          </w:p>
        </w:tc>
        <w:tc>
          <w:tcPr>
            <w:tcW w:w="2263" w:type="dxa"/>
            <w:tcBorders>
              <w:tl2br w:val="nil"/>
              <w:tr2bl w:val="nil"/>
            </w:tcBorders>
            <w:shd w:val="clear" w:color="auto" w:fill="FFFFFF"/>
            <w:tcMar>
              <w:top w:w="15" w:type="dxa"/>
              <w:left w:w="15" w:type="dxa"/>
              <w:right w:w="15" w:type="dxa"/>
            </w:tcMar>
            <w:vAlign w:val="center"/>
          </w:tcPr>
          <w:p w14:paraId="06115F0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24C0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A3072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61" w:type="dxa"/>
            <w:tcBorders>
              <w:tl2br w:val="nil"/>
              <w:tr2bl w:val="nil"/>
            </w:tcBorders>
            <w:shd w:val="clear" w:color="auto" w:fill="FFFFFF"/>
            <w:noWrap/>
            <w:tcMar>
              <w:top w:w="15" w:type="dxa"/>
              <w:left w:w="15" w:type="dxa"/>
              <w:right w:w="15" w:type="dxa"/>
            </w:tcMar>
            <w:vAlign w:val="center"/>
          </w:tcPr>
          <w:p w14:paraId="68CD2A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5407" w:type="dxa"/>
            <w:tcBorders>
              <w:tl2br w:val="nil"/>
              <w:tr2bl w:val="nil"/>
            </w:tcBorders>
            <w:shd w:val="clear" w:color="auto" w:fill="FFFFFF"/>
            <w:tcMar>
              <w:top w:w="15" w:type="dxa"/>
              <w:left w:w="15" w:type="dxa"/>
              <w:right w:w="15" w:type="dxa"/>
            </w:tcMar>
            <w:vAlign w:val="center"/>
          </w:tcPr>
          <w:p w14:paraId="376D25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一项在PD-L1高表达、未接受过化疗的IV期非鳞状或鳞状非小细胞肺癌患者中比较阿替利珠单抗（抗PD-L1抗体）与含铂双药化疗的III期随机研究</w:t>
            </w:r>
          </w:p>
        </w:tc>
        <w:tc>
          <w:tcPr>
            <w:tcW w:w="1725" w:type="dxa"/>
            <w:tcBorders>
              <w:tl2br w:val="nil"/>
              <w:tr2bl w:val="nil"/>
            </w:tcBorders>
            <w:shd w:val="clear" w:color="auto" w:fill="FFFFFF"/>
            <w:tcMar>
              <w:top w:w="15" w:type="dxa"/>
              <w:left w:w="15" w:type="dxa"/>
              <w:right w:w="15" w:type="dxa"/>
            </w:tcMar>
            <w:vAlign w:val="center"/>
          </w:tcPr>
          <w:p w14:paraId="61184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PD-L1高表达、未接受过化疗的IV期非鳞状或鳞状非小细胞肺癌患者</w:t>
            </w:r>
          </w:p>
        </w:tc>
        <w:tc>
          <w:tcPr>
            <w:tcW w:w="1425" w:type="dxa"/>
            <w:tcBorders>
              <w:tl2br w:val="nil"/>
              <w:tr2bl w:val="nil"/>
            </w:tcBorders>
            <w:shd w:val="clear" w:color="auto" w:fill="FFFFFF"/>
            <w:tcMar>
              <w:top w:w="15" w:type="dxa"/>
              <w:left w:w="15" w:type="dxa"/>
              <w:right w:w="15" w:type="dxa"/>
            </w:tcMar>
            <w:vAlign w:val="center"/>
          </w:tcPr>
          <w:p w14:paraId="59748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姑息医学科</w:t>
            </w:r>
          </w:p>
        </w:tc>
        <w:tc>
          <w:tcPr>
            <w:tcW w:w="1780" w:type="dxa"/>
            <w:tcBorders>
              <w:tl2br w:val="nil"/>
              <w:tr2bl w:val="nil"/>
            </w:tcBorders>
            <w:shd w:val="clear" w:color="auto" w:fill="FFFFFF"/>
            <w:tcMar>
              <w:top w:w="15" w:type="dxa"/>
              <w:left w:w="15" w:type="dxa"/>
              <w:right w:w="15" w:type="dxa"/>
            </w:tcMar>
            <w:vAlign w:val="center"/>
          </w:tcPr>
          <w:p w14:paraId="746662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庄莉</w:t>
            </w:r>
          </w:p>
        </w:tc>
        <w:tc>
          <w:tcPr>
            <w:tcW w:w="2263" w:type="dxa"/>
            <w:tcBorders>
              <w:tl2br w:val="nil"/>
              <w:tr2bl w:val="nil"/>
            </w:tcBorders>
            <w:shd w:val="clear" w:color="auto" w:fill="FFFFFF"/>
            <w:tcMar>
              <w:top w:w="15" w:type="dxa"/>
              <w:left w:w="15" w:type="dxa"/>
              <w:right w:w="15" w:type="dxa"/>
            </w:tcMar>
            <w:vAlign w:val="center"/>
          </w:tcPr>
          <w:p w14:paraId="6C05940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8D07C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A4214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73DDDD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5407" w:type="dxa"/>
            <w:tcBorders>
              <w:tl2br w:val="nil"/>
              <w:tr2bl w:val="nil"/>
            </w:tcBorders>
            <w:shd w:val="clear" w:color="auto" w:fill="FFFFFF"/>
            <w:tcMar>
              <w:top w:w="15" w:type="dxa"/>
              <w:left w:w="15" w:type="dxa"/>
              <w:right w:w="15" w:type="dxa"/>
            </w:tcMar>
            <w:vAlign w:val="center"/>
          </w:tcPr>
          <w:p w14:paraId="3B1FF2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评估TY-9591片对比奥希替尼一线治疗EGFR敏感突变的局部晚期或转移性非小细胞肺癌患者的疗效和安全性的随机、双盲、多中心III期临床研究</w:t>
            </w:r>
          </w:p>
        </w:tc>
        <w:tc>
          <w:tcPr>
            <w:tcW w:w="1725" w:type="dxa"/>
            <w:tcBorders>
              <w:tl2br w:val="nil"/>
              <w:tr2bl w:val="nil"/>
            </w:tcBorders>
            <w:shd w:val="clear" w:color="auto" w:fill="FFFFFF"/>
            <w:noWrap/>
            <w:tcMar>
              <w:top w:w="15" w:type="dxa"/>
              <w:left w:w="15" w:type="dxa"/>
              <w:right w:w="15" w:type="dxa"/>
            </w:tcMar>
            <w:vAlign w:val="center"/>
          </w:tcPr>
          <w:p w14:paraId="5CDCE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5051E39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3395AF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向旭东</w:t>
            </w:r>
          </w:p>
        </w:tc>
        <w:tc>
          <w:tcPr>
            <w:tcW w:w="2263" w:type="dxa"/>
            <w:tcBorders>
              <w:tl2br w:val="nil"/>
              <w:tr2bl w:val="nil"/>
            </w:tcBorders>
            <w:shd w:val="clear" w:color="auto" w:fill="FFFFFF"/>
            <w:tcMar>
              <w:top w:w="15" w:type="dxa"/>
              <w:left w:w="15" w:type="dxa"/>
              <w:right w:w="15" w:type="dxa"/>
            </w:tcMar>
            <w:vAlign w:val="center"/>
          </w:tcPr>
          <w:p w14:paraId="5024679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906BB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29D97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l2br w:val="nil"/>
              <w:tr2bl w:val="nil"/>
            </w:tcBorders>
            <w:shd w:val="clear" w:color="auto" w:fill="FFFFFF"/>
            <w:noWrap/>
            <w:tcMar>
              <w:top w:w="15" w:type="dxa"/>
              <w:left w:w="15" w:type="dxa"/>
              <w:right w:w="15" w:type="dxa"/>
            </w:tcMar>
            <w:vAlign w:val="center"/>
          </w:tcPr>
          <w:p w14:paraId="707792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407" w:type="dxa"/>
            <w:tcBorders>
              <w:tl2br w:val="nil"/>
              <w:tr2bl w:val="nil"/>
            </w:tcBorders>
            <w:shd w:val="clear" w:color="auto" w:fill="FFFFFF"/>
            <w:tcMar>
              <w:top w:w="15" w:type="dxa"/>
              <w:left w:w="15" w:type="dxa"/>
              <w:right w:w="15" w:type="dxa"/>
            </w:tcMar>
            <w:vAlign w:val="center"/>
          </w:tcPr>
          <w:p w14:paraId="2071D3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评价HMPL-453酒石酸盐在FGFR2融合的晚期肝内胆管癌患者中的疗效、安全性及药代动力学的单臂、多中心、开放性II期临床研究</w:t>
            </w:r>
          </w:p>
        </w:tc>
        <w:tc>
          <w:tcPr>
            <w:tcW w:w="1725" w:type="dxa"/>
            <w:tcBorders>
              <w:tl2br w:val="nil"/>
              <w:tr2bl w:val="nil"/>
            </w:tcBorders>
            <w:shd w:val="clear" w:color="auto" w:fill="FFFFFF"/>
            <w:tcMar>
              <w:top w:w="15" w:type="dxa"/>
              <w:left w:w="15" w:type="dxa"/>
              <w:right w:w="15" w:type="dxa"/>
            </w:tcMar>
            <w:vAlign w:val="center"/>
          </w:tcPr>
          <w:p w14:paraId="41844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FGFR2融合的肝内胆管癌</w:t>
            </w:r>
          </w:p>
        </w:tc>
        <w:tc>
          <w:tcPr>
            <w:tcW w:w="1425" w:type="dxa"/>
            <w:tcBorders>
              <w:tl2br w:val="nil"/>
              <w:tr2bl w:val="nil"/>
            </w:tcBorders>
            <w:shd w:val="clear" w:color="auto" w:fill="FFFFFF"/>
            <w:tcMar>
              <w:top w:w="15" w:type="dxa"/>
              <w:left w:w="15" w:type="dxa"/>
              <w:right w:w="15" w:type="dxa"/>
            </w:tcMar>
            <w:vAlign w:val="center"/>
          </w:tcPr>
          <w:p w14:paraId="59CB5C5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316F2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谢琳</w:t>
            </w:r>
          </w:p>
        </w:tc>
        <w:tc>
          <w:tcPr>
            <w:tcW w:w="2263" w:type="dxa"/>
            <w:tcBorders>
              <w:tl2br w:val="nil"/>
              <w:tr2bl w:val="nil"/>
            </w:tcBorders>
            <w:shd w:val="clear" w:color="auto" w:fill="FFFFFF"/>
            <w:tcMar>
              <w:top w:w="15" w:type="dxa"/>
              <w:left w:w="15" w:type="dxa"/>
              <w:right w:w="15" w:type="dxa"/>
            </w:tcMar>
            <w:vAlign w:val="center"/>
          </w:tcPr>
          <w:p w14:paraId="3E175AF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64F4E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4BBB4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42AD2F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407" w:type="dxa"/>
            <w:tcBorders>
              <w:tl2br w:val="nil"/>
              <w:tr2bl w:val="nil"/>
            </w:tcBorders>
            <w:shd w:val="clear" w:color="auto" w:fill="FFFFFF"/>
            <w:tcMar>
              <w:top w:w="15" w:type="dxa"/>
              <w:left w:w="15" w:type="dxa"/>
              <w:right w:w="15" w:type="dxa"/>
            </w:tcMar>
            <w:vAlign w:val="center"/>
          </w:tcPr>
          <w:p w14:paraId="564BE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比较SYSA1901单抗注射液/帕妥珠单抗（帕捷特®）联合曲妥珠单抗和多西他赛新辅助治疗早期或局部晚期HER2阳性乳腺癌患者的有效性和安全性的III期临床研究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14:paraId="6986B7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14:paraId="1B0C9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3244AB69">
            <w:pPr>
              <w:keepNext w:val="0"/>
              <w:keepLines w:val="0"/>
              <w:widowControl/>
              <w:suppressLineNumbers w:val="0"/>
              <w:jc w:val="center"/>
              <w:textAlignment w:val="center"/>
              <w:rPr>
                <w:rFonts w:hint="eastAsia" w:ascii="宋体" w:hAnsi="宋体" w:cs="宋体" w:eastAsiaTheme="minorEastAsia"/>
                <w:i w:val="0"/>
                <w:iCs w:val="0"/>
                <w:color w:val="0000FF"/>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聂建云</w:t>
            </w:r>
          </w:p>
        </w:tc>
        <w:tc>
          <w:tcPr>
            <w:tcW w:w="2263" w:type="dxa"/>
            <w:tcBorders>
              <w:tl2br w:val="nil"/>
              <w:tr2bl w:val="nil"/>
            </w:tcBorders>
            <w:shd w:val="clear" w:color="auto" w:fill="FFFFFF"/>
            <w:tcMar>
              <w:top w:w="15" w:type="dxa"/>
              <w:left w:w="15" w:type="dxa"/>
              <w:right w:w="15" w:type="dxa"/>
            </w:tcMar>
            <w:vAlign w:val="center"/>
          </w:tcPr>
          <w:p w14:paraId="61B5C5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19CD84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E7A21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089DE3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5407" w:type="dxa"/>
            <w:tcBorders>
              <w:tl2br w:val="nil"/>
              <w:tr2bl w:val="nil"/>
            </w:tcBorders>
            <w:shd w:val="clear" w:color="auto" w:fill="FFFFFF"/>
            <w:tcMar>
              <w:top w:w="15" w:type="dxa"/>
              <w:left w:w="15" w:type="dxa"/>
              <w:right w:w="15" w:type="dxa"/>
            </w:tcMar>
            <w:vAlign w:val="center"/>
          </w:tcPr>
          <w:p w14:paraId="1E0A0F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注射用甲磺酸普依司他治疗复发或难治弥漫大B细胞淋巴瘤（DLBCL）的有效性和安全性的开放、多中心II期临床研究</w:t>
            </w:r>
          </w:p>
        </w:tc>
        <w:tc>
          <w:tcPr>
            <w:tcW w:w="1725" w:type="dxa"/>
            <w:tcBorders>
              <w:tl2br w:val="nil"/>
              <w:tr2bl w:val="nil"/>
            </w:tcBorders>
            <w:shd w:val="clear" w:color="auto" w:fill="FFFFFF"/>
            <w:tcMar>
              <w:top w:w="15" w:type="dxa"/>
              <w:left w:w="15" w:type="dxa"/>
              <w:right w:w="15" w:type="dxa"/>
            </w:tcMar>
            <w:vAlign w:val="center"/>
          </w:tcPr>
          <w:p w14:paraId="18F57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复发或难治弥漫大B细胞淋巴瘤（DLBCL）患者</w:t>
            </w:r>
          </w:p>
        </w:tc>
        <w:tc>
          <w:tcPr>
            <w:tcW w:w="1425" w:type="dxa"/>
            <w:tcBorders>
              <w:tl2br w:val="nil"/>
              <w:tr2bl w:val="nil"/>
            </w:tcBorders>
            <w:shd w:val="clear" w:color="auto" w:fill="FFFFFF"/>
            <w:tcMar>
              <w:top w:w="15" w:type="dxa"/>
              <w:left w:w="15" w:type="dxa"/>
              <w:right w:w="15" w:type="dxa"/>
            </w:tcMar>
            <w:vAlign w:val="center"/>
          </w:tcPr>
          <w:p w14:paraId="0F7231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血液科</w:t>
            </w:r>
          </w:p>
        </w:tc>
        <w:tc>
          <w:tcPr>
            <w:tcW w:w="1780" w:type="dxa"/>
            <w:tcBorders>
              <w:tl2br w:val="nil"/>
              <w:tr2bl w:val="nil"/>
            </w:tcBorders>
            <w:shd w:val="clear" w:color="auto" w:fill="FFFFFF"/>
            <w:tcMar>
              <w:top w:w="15" w:type="dxa"/>
              <w:left w:w="15" w:type="dxa"/>
              <w:right w:w="15" w:type="dxa"/>
            </w:tcMar>
            <w:vAlign w:val="center"/>
          </w:tcPr>
          <w:p w14:paraId="0EAF9D21">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赖洵</w:t>
            </w:r>
          </w:p>
        </w:tc>
        <w:tc>
          <w:tcPr>
            <w:tcW w:w="2263" w:type="dxa"/>
            <w:tcBorders>
              <w:tl2br w:val="nil"/>
              <w:tr2bl w:val="nil"/>
            </w:tcBorders>
            <w:shd w:val="clear" w:color="auto" w:fill="FFFFFF"/>
            <w:tcMar>
              <w:top w:w="15" w:type="dxa"/>
              <w:left w:w="15" w:type="dxa"/>
              <w:right w:w="15" w:type="dxa"/>
            </w:tcMar>
            <w:vAlign w:val="center"/>
          </w:tcPr>
          <w:p w14:paraId="1668858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E4EE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7D691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5408A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5407" w:type="dxa"/>
            <w:tcBorders>
              <w:tl2br w:val="nil"/>
              <w:tr2bl w:val="nil"/>
            </w:tcBorders>
            <w:shd w:val="clear" w:color="auto" w:fill="FFFFFF"/>
            <w:tcMar>
              <w:top w:w="15" w:type="dxa"/>
              <w:left w:w="15" w:type="dxa"/>
              <w:right w:w="15" w:type="dxa"/>
            </w:tcMar>
            <w:vAlign w:val="center"/>
          </w:tcPr>
          <w:p w14:paraId="02CBE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评价重组人GM-CSF溶瘤II型单纯疱疹病毒（OH2）注射液对比研究者选择的挽救性化疗或最佳支持治疗（BSC）在标准治疗失败的黑色素瘤患者的III期临床研究</w:t>
            </w:r>
          </w:p>
        </w:tc>
        <w:tc>
          <w:tcPr>
            <w:tcW w:w="1725" w:type="dxa"/>
            <w:tcBorders>
              <w:tl2br w:val="nil"/>
              <w:tr2bl w:val="nil"/>
            </w:tcBorders>
            <w:shd w:val="clear" w:color="auto" w:fill="FFFFFF"/>
            <w:tcMar>
              <w:top w:w="15" w:type="dxa"/>
              <w:left w:w="15" w:type="dxa"/>
              <w:right w:w="15" w:type="dxa"/>
            </w:tcMar>
            <w:vAlign w:val="center"/>
          </w:tcPr>
          <w:p w14:paraId="24D310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黑色素瘤</w:t>
            </w:r>
          </w:p>
        </w:tc>
        <w:tc>
          <w:tcPr>
            <w:tcW w:w="1425" w:type="dxa"/>
            <w:tcBorders>
              <w:tl2br w:val="nil"/>
              <w:tr2bl w:val="nil"/>
            </w:tcBorders>
            <w:shd w:val="clear" w:color="auto" w:fill="FFFFFF"/>
            <w:tcMar>
              <w:top w:w="15" w:type="dxa"/>
              <w:left w:w="15" w:type="dxa"/>
              <w:right w:w="15" w:type="dxa"/>
            </w:tcMar>
            <w:vAlign w:val="center"/>
          </w:tcPr>
          <w:p w14:paraId="35DDF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肿瘤生物治疗中心</w:t>
            </w:r>
          </w:p>
        </w:tc>
        <w:tc>
          <w:tcPr>
            <w:tcW w:w="1780" w:type="dxa"/>
            <w:tcBorders>
              <w:tl2br w:val="nil"/>
              <w:tr2bl w:val="nil"/>
            </w:tcBorders>
            <w:shd w:val="clear" w:color="auto" w:fill="FFFFFF"/>
            <w:tcMar>
              <w:top w:w="15" w:type="dxa"/>
              <w:left w:w="15" w:type="dxa"/>
              <w:right w:w="15" w:type="dxa"/>
            </w:tcMar>
            <w:vAlign w:val="center"/>
          </w:tcPr>
          <w:p w14:paraId="5CB5FC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李科</w:t>
            </w:r>
          </w:p>
        </w:tc>
        <w:tc>
          <w:tcPr>
            <w:tcW w:w="2263" w:type="dxa"/>
            <w:tcBorders>
              <w:tl2br w:val="nil"/>
              <w:tr2bl w:val="nil"/>
            </w:tcBorders>
            <w:shd w:val="clear" w:color="auto" w:fill="FFFFFF"/>
            <w:tcMar>
              <w:top w:w="15" w:type="dxa"/>
              <w:left w:w="15" w:type="dxa"/>
              <w:right w:w="15" w:type="dxa"/>
            </w:tcMar>
            <w:vAlign w:val="center"/>
          </w:tcPr>
          <w:p w14:paraId="7331603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1F8D2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67756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1141F0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5407" w:type="dxa"/>
            <w:tcBorders>
              <w:tl2br w:val="nil"/>
              <w:tr2bl w:val="nil"/>
            </w:tcBorders>
            <w:shd w:val="clear" w:color="auto" w:fill="FFFFFF"/>
            <w:tcMar>
              <w:top w:w="15" w:type="dxa"/>
              <w:left w:w="15" w:type="dxa"/>
              <w:right w:w="15" w:type="dxa"/>
            </w:tcMar>
            <w:vAlign w:val="center"/>
          </w:tcPr>
          <w:p w14:paraId="29D17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评价QL1706联合化疗一线治疗PD-L1表达阴性、局部晚期或转移性非小细胞肺癌患者的有效性和安全性的III期临床研究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14:paraId="00E3A9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PD-L1表达阴性、局部晚期或转移性非小细胞肺癌</w:t>
            </w:r>
          </w:p>
        </w:tc>
        <w:tc>
          <w:tcPr>
            <w:tcW w:w="1425" w:type="dxa"/>
            <w:tcBorders>
              <w:tl2br w:val="nil"/>
              <w:tr2bl w:val="nil"/>
            </w:tcBorders>
            <w:shd w:val="clear" w:color="auto" w:fill="FFFFFF"/>
            <w:tcMar>
              <w:top w:w="15" w:type="dxa"/>
              <w:left w:w="15" w:type="dxa"/>
              <w:right w:w="15" w:type="dxa"/>
            </w:tcMar>
            <w:vAlign w:val="center"/>
          </w:tcPr>
          <w:p w14:paraId="33122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2AEE6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李高峰</w:t>
            </w:r>
          </w:p>
        </w:tc>
        <w:tc>
          <w:tcPr>
            <w:tcW w:w="2263" w:type="dxa"/>
            <w:tcBorders>
              <w:tl2br w:val="nil"/>
              <w:tr2bl w:val="nil"/>
            </w:tcBorders>
            <w:shd w:val="clear" w:color="auto" w:fill="FFFFFF"/>
            <w:tcMar>
              <w:top w:w="15" w:type="dxa"/>
              <w:left w:w="15" w:type="dxa"/>
              <w:right w:w="15" w:type="dxa"/>
            </w:tcMar>
            <w:vAlign w:val="center"/>
          </w:tcPr>
          <w:p w14:paraId="41FBAE7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3EA9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89F37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0A506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407" w:type="dxa"/>
            <w:tcBorders>
              <w:tl2br w:val="nil"/>
              <w:tr2bl w:val="nil"/>
            </w:tcBorders>
            <w:shd w:val="clear" w:color="auto" w:fill="FFFFFF"/>
            <w:tcMar>
              <w:top w:w="15" w:type="dxa"/>
              <w:left w:w="15" w:type="dxa"/>
              <w:right w:w="15" w:type="dxa"/>
            </w:tcMar>
            <w:vAlign w:val="center"/>
          </w:tcPr>
          <w:p w14:paraId="7A0EAB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贝福替尼对照埃克替尼用于EGFR敏感突变阳性的IB-IIIB（T3N2M0）期非小细胞肺癌术后辅助治疗的多中心、随机、对照、双盲、双模拟、III期临床研究</w:t>
            </w:r>
          </w:p>
        </w:tc>
        <w:tc>
          <w:tcPr>
            <w:tcW w:w="1725" w:type="dxa"/>
            <w:tcBorders>
              <w:tl2br w:val="nil"/>
              <w:tr2bl w:val="nil"/>
            </w:tcBorders>
            <w:shd w:val="clear" w:color="auto" w:fill="FFFFFF"/>
            <w:tcMar>
              <w:top w:w="15" w:type="dxa"/>
              <w:left w:w="15" w:type="dxa"/>
              <w:right w:w="15" w:type="dxa"/>
            </w:tcMar>
            <w:vAlign w:val="center"/>
          </w:tcPr>
          <w:p w14:paraId="71B5DA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02393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23F7E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李高峰</w:t>
            </w:r>
          </w:p>
        </w:tc>
        <w:tc>
          <w:tcPr>
            <w:tcW w:w="2263" w:type="dxa"/>
            <w:tcBorders>
              <w:tl2br w:val="nil"/>
              <w:tr2bl w:val="nil"/>
            </w:tcBorders>
            <w:shd w:val="clear" w:color="auto" w:fill="FFFFFF"/>
            <w:tcMar>
              <w:top w:w="15" w:type="dxa"/>
              <w:left w:w="15" w:type="dxa"/>
              <w:right w:w="15" w:type="dxa"/>
            </w:tcMar>
            <w:vAlign w:val="center"/>
          </w:tcPr>
          <w:p w14:paraId="269DA61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A5FB1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26B0A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5D10C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5407" w:type="dxa"/>
            <w:tcBorders>
              <w:tl2br w:val="nil"/>
              <w:tr2bl w:val="nil"/>
            </w:tcBorders>
            <w:shd w:val="clear" w:color="auto" w:fill="FFFFFF"/>
            <w:tcMar>
              <w:top w:w="15" w:type="dxa"/>
              <w:left w:w="15" w:type="dxa"/>
              <w:right w:w="15" w:type="dxa"/>
            </w:tcMar>
            <w:vAlign w:val="center"/>
          </w:tcPr>
          <w:p w14:paraId="567CB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一项开放、多中心对比谷美替尼与多西他赛在既往接受免疫治疗和含铂双药化疗后进展的驱动基因阴性且伴有 MET 过表达的局部晚期或转移性非小细胞肺癌患者中的随机对照 III 期临床研究</w:t>
            </w:r>
          </w:p>
        </w:tc>
        <w:tc>
          <w:tcPr>
            <w:tcW w:w="1725" w:type="dxa"/>
            <w:tcBorders>
              <w:tl2br w:val="nil"/>
              <w:tr2bl w:val="nil"/>
            </w:tcBorders>
            <w:shd w:val="clear" w:color="auto" w:fill="FFFFFF"/>
            <w:tcMar>
              <w:top w:w="15" w:type="dxa"/>
              <w:left w:w="15" w:type="dxa"/>
              <w:right w:w="15" w:type="dxa"/>
            </w:tcMar>
            <w:vAlign w:val="center"/>
          </w:tcPr>
          <w:p w14:paraId="19BF88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132FCF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5EA72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4E06188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71C4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FAEBA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5DDEA4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5407" w:type="dxa"/>
            <w:tcBorders>
              <w:tl2br w:val="nil"/>
              <w:tr2bl w:val="nil"/>
            </w:tcBorders>
            <w:shd w:val="clear" w:color="auto" w:fill="FFFFFF"/>
            <w:tcMar>
              <w:top w:w="15" w:type="dxa"/>
              <w:left w:w="15" w:type="dxa"/>
              <w:right w:w="15" w:type="dxa"/>
            </w:tcMar>
            <w:vAlign w:val="center"/>
          </w:tcPr>
          <w:p w14:paraId="53EF7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SI-B001 联合多西他赛二线治疗仅一线经 PD-1/PD-L1 单抗+含铂双化联合方案治疗失败的局部晚期或转移性无驱动基因变异的非小细胞肺腺癌和肺鳞癌患者的开放标签、随机对照 III 期临床研究</w:t>
            </w:r>
          </w:p>
        </w:tc>
        <w:tc>
          <w:tcPr>
            <w:tcW w:w="1725" w:type="dxa"/>
            <w:tcBorders>
              <w:tl2br w:val="nil"/>
              <w:tr2bl w:val="nil"/>
            </w:tcBorders>
            <w:shd w:val="clear" w:color="auto" w:fill="FFFFFF"/>
            <w:tcMar>
              <w:top w:w="15" w:type="dxa"/>
              <w:left w:w="15" w:type="dxa"/>
              <w:right w:w="15" w:type="dxa"/>
            </w:tcMar>
            <w:vAlign w:val="center"/>
          </w:tcPr>
          <w:p w14:paraId="0A4B3E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仅一线经 PD-1/PD-L1 单抗+含铂双化联合方案治疗失败的局部晚期或转移性无驱动基因变异的非小细胞肺腺癌和肺鳞癌患者 </w:t>
            </w:r>
          </w:p>
        </w:tc>
        <w:tc>
          <w:tcPr>
            <w:tcW w:w="1425" w:type="dxa"/>
            <w:tcBorders>
              <w:tl2br w:val="nil"/>
              <w:tr2bl w:val="nil"/>
            </w:tcBorders>
            <w:shd w:val="clear" w:color="auto" w:fill="FFFFFF"/>
            <w:tcMar>
              <w:top w:w="15" w:type="dxa"/>
              <w:left w:w="15" w:type="dxa"/>
              <w:right w:w="15" w:type="dxa"/>
            </w:tcMar>
            <w:vAlign w:val="center"/>
          </w:tcPr>
          <w:p w14:paraId="74F75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4E5C7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51EDADF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3D0C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1A9CA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C2F0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5407" w:type="dxa"/>
            <w:tcBorders>
              <w:tl2br w:val="nil"/>
              <w:tr2bl w:val="nil"/>
            </w:tcBorders>
            <w:shd w:val="clear" w:color="auto" w:fill="FFFFFF"/>
            <w:tcMar>
              <w:top w:w="15" w:type="dxa"/>
              <w:left w:w="15" w:type="dxa"/>
              <w:right w:w="15" w:type="dxa"/>
            </w:tcMar>
            <w:vAlign w:val="center"/>
          </w:tcPr>
          <w:p w14:paraId="0595CE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一项评估DB-1303在晚期/转移性实体瘤患者中的安全性、耐受性、药代动力学和初步抗肿瘤活性的I/IIa期多中心、开放性、非随机、首次人体研究</w:t>
            </w:r>
          </w:p>
        </w:tc>
        <w:tc>
          <w:tcPr>
            <w:tcW w:w="1725" w:type="dxa"/>
            <w:tcBorders>
              <w:tl2br w:val="nil"/>
              <w:tr2bl w:val="nil"/>
            </w:tcBorders>
            <w:shd w:val="clear" w:color="auto" w:fill="FFFFFF"/>
            <w:tcMar>
              <w:top w:w="15" w:type="dxa"/>
              <w:left w:w="15" w:type="dxa"/>
              <w:right w:w="15" w:type="dxa"/>
            </w:tcMar>
            <w:vAlign w:val="center"/>
          </w:tcPr>
          <w:p w14:paraId="1FAFA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实体瘤（子宫内膜癌）</w:t>
            </w:r>
          </w:p>
        </w:tc>
        <w:tc>
          <w:tcPr>
            <w:tcW w:w="1425" w:type="dxa"/>
            <w:tcBorders>
              <w:tl2br w:val="nil"/>
              <w:tr2bl w:val="nil"/>
            </w:tcBorders>
            <w:shd w:val="clear" w:color="auto" w:fill="FFFFFF"/>
            <w:tcMar>
              <w:top w:w="15" w:type="dxa"/>
              <w:left w:w="15" w:type="dxa"/>
              <w:right w:w="15" w:type="dxa"/>
            </w:tcMar>
            <w:vAlign w:val="center"/>
          </w:tcPr>
          <w:p w14:paraId="05821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0E67ED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杨宏英</w:t>
            </w:r>
          </w:p>
        </w:tc>
        <w:tc>
          <w:tcPr>
            <w:tcW w:w="2263" w:type="dxa"/>
            <w:tcBorders>
              <w:tl2br w:val="nil"/>
              <w:tr2bl w:val="nil"/>
            </w:tcBorders>
            <w:shd w:val="clear" w:color="auto" w:fill="FFFFFF"/>
            <w:tcMar>
              <w:top w:w="15" w:type="dxa"/>
              <w:left w:w="15" w:type="dxa"/>
              <w:right w:w="15" w:type="dxa"/>
            </w:tcMar>
            <w:vAlign w:val="center"/>
          </w:tcPr>
          <w:p w14:paraId="562B28D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FE6F32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r>
      <w:tr w14:paraId="3D18B99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53F57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5407" w:type="dxa"/>
            <w:tcBorders>
              <w:tl2br w:val="nil"/>
              <w:tr2bl w:val="nil"/>
            </w:tcBorders>
            <w:shd w:val="clear" w:color="auto" w:fill="FFFFFF"/>
            <w:tcMar>
              <w:top w:w="15" w:type="dxa"/>
              <w:left w:w="15" w:type="dxa"/>
              <w:right w:w="15" w:type="dxa"/>
            </w:tcMar>
            <w:vAlign w:val="center"/>
          </w:tcPr>
          <w:p w14:paraId="29A1E0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一项评价CT-3505胶囊在二代ALK抑制剂治疗失败的晚期非小细胞肺癌患者中的有效性和安全性的多中心、开放性II期临床研究</w:t>
            </w:r>
          </w:p>
        </w:tc>
        <w:tc>
          <w:tcPr>
            <w:tcW w:w="1725" w:type="dxa"/>
            <w:tcBorders>
              <w:tl2br w:val="nil"/>
              <w:tr2bl w:val="nil"/>
            </w:tcBorders>
            <w:shd w:val="clear" w:color="auto" w:fill="FFFFFF"/>
            <w:tcMar>
              <w:top w:w="15" w:type="dxa"/>
              <w:left w:w="15" w:type="dxa"/>
              <w:right w:w="15" w:type="dxa"/>
            </w:tcMar>
            <w:vAlign w:val="center"/>
          </w:tcPr>
          <w:p w14:paraId="3E0EE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ALK阳性NSCLC患者</w:t>
            </w:r>
          </w:p>
        </w:tc>
        <w:tc>
          <w:tcPr>
            <w:tcW w:w="1425" w:type="dxa"/>
            <w:tcBorders>
              <w:tl2br w:val="nil"/>
              <w:tr2bl w:val="nil"/>
            </w:tcBorders>
            <w:shd w:val="clear" w:color="auto" w:fill="FFFFFF"/>
            <w:noWrap/>
            <w:tcMar>
              <w:top w:w="15" w:type="dxa"/>
              <w:left w:w="15" w:type="dxa"/>
              <w:right w:w="15" w:type="dxa"/>
            </w:tcMar>
            <w:vAlign w:val="center"/>
          </w:tcPr>
          <w:p w14:paraId="7700B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231B3A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43C062D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B0EC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01FC3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461C48E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5407" w:type="dxa"/>
            <w:tcBorders>
              <w:tl2br w:val="nil"/>
              <w:tr2bl w:val="nil"/>
            </w:tcBorders>
            <w:shd w:val="clear" w:color="auto" w:fill="FFFFFF"/>
            <w:tcMar>
              <w:top w:w="15" w:type="dxa"/>
              <w:left w:w="15" w:type="dxa"/>
              <w:right w:w="15" w:type="dxa"/>
            </w:tcMar>
            <w:vAlign w:val="center"/>
          </w:tcPr>
          <w:p w14:paraId="71DB42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注射用HS-20089在晚期实体瘤患者中的安全性、耐受性、药代动力学和有效性的I期临床研究</w:t>
            </w:r>
          </w:p>
        </w:tc>
        <w:tc>
          <w:tcPr>
            <w:tcW w:w="1725" w:type="dxa"/>
            <w:tcBorders>
              <w:tl2br w:val="nil"/>
              <w:tr2bl w:val="nil"/>
            </w:tcBorders>
            <w:shd w:val="clear" w:color="auto" w:fill="FFFFFF"/>
            <w:tcMar>
              <w:top w:w="15" w:type="dxa"/>
              <w:left w:w="15" w:type="dxa"/>
              <w:right w:w="15" w:type="dxa"/>
            </w:tcMar>
            <w:vAlign w:val="center"/>
          </w:tcPr>
          <w:p w14:paraId="0E7FD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晚期实体瘤（乳腺癌为主）</w:t>
            </w:r>
          </w:p>
        </w:tc>
        <w:tc>
          <w:tcPr>
            <w:tcW w:w="1425" w:type="dxa"/>
            <w:tcBorders>
              <w:tl2br w:val="nil"/>
              <w:tr2bl w:val="nil"/>
            </w:tcBorders>
            <w:shd w:val="clear" w:color="auto" w:fill="FFFFFF"/>
            <w:noWrap/>
            <w:tcMar>
              <w:top w:w="15" w:type="dxa"/>
              <w:left w:w="15" w:type="dxa"/>
              <w:right w:w="15" w:type="dxa"/>
            </w:tcMar>
            <w:vAlign w:val="center"/>
          </w:tcPr>
          <w:p w14:paraId="4889BD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044258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聂建云</w:t>
            </w:r>
          </w:p>
        </w:tc>
        <w:tc>
          <w:tcPr>
            <w:tcW w:w="2263" w:type="dxa"/>
            <w:tcBorders>
              <w:tl2br w:val="nil"/>
              <w:tr2bl w:val="nil"/>
            </w:tcBorders>
            <w:shd w:val="clear" w:color="auto" w:fill="FFFFFF"/>
            <w:tcMar>
              <w:top w:w="15" w:type="dxa"/>
              <w:left w:w="15" w:type="dxa"/>
              <w:right w:w="15" w:type="dxa"/>
            </w:tcMar>
            <w:vAlign w:val="center"/>
          </w:tcPr>
          <w:p w14:paraId="328EAA1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38EA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199E2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57EF944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5407" w:type="dxa"/>
            <w:tcBorders>
              <w:tl2br w:val="nil"/>
              <w:tr2bl w:val="nil"/>
            </w:tcBorders>
            <w:shd w:val="clear" w:color="auto" w:fill="FFFFFF"/>
            <w:tcMar>
              <w:top w:w="15" w:type="dxa"/>
              <w:left w:w="15" w:type="dxa"/>
              <w:right w:w="15" w:type="dxa"/>
            </w:tcMar>
            <w:vAlign w:val="center"/>
          </w:tcPr>
          <w:p w14:paraId="3772B2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TY-9591片治疗EGFR敏感突变非小细胞肺癌脑转移关键Ⅱ期临床研究</w:t>
            </w:r>
          </w:p>
        </w:tc>
        <w:tc>
          <w:tcPr>
            <w:tcW w:w="1725" w:type="dxa"/>
            <w:tcBorders>
              <w:tl2br w:val="nil"/>
              <w:tr2bl w:val="nil"/>
            </w:tcBorders>
            <w:shd w:val="clear" w:color="auto" w:fill="FFFFFF"/>
            <w:tcMar>
              <w:top w:w="15" w:type="dxa"/>
              <w:left w:w="15" w:type="dxa"/>
              <w:right w:w="15" w:type="dxa"/>
            </w:tcMar>
            <w:vAlign w:val="center"/>
          </w:tcPr>
          <w:p w14:paraId="13D1D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既往未经治疗的EGFR突变阳性非小细胞肺癌（NSCLC）脑转移患者</w:t>
            </w:r>
          </w:p>
        </w:tc>
        <w:tc>
          <w:tcPr>
            <w:tcW w:w="1425" w:type="dxa"/>
            <w:tcBorders>
              <w:tl2br w:val="nil"/>
              <w:tr2bl w:val="nil"/>
            </w:tcBorders>
            <w:shd w:val="clear" w:color="auto" w:fill="FFFFFF"/>
            <w:tcMar>
              <w:top w:w="15" w:type="dxa"/>
              <w:left w:w="15" w:type="dxa"/>
              <w:right w:w="15" w:type="dxa"/>
            </w:tcMar>
            <w:vAlign w:val="center"/>
          </w:tcPr>
          <w:p w14:paraId="4C34407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胸外一科</w:t>
            </w:r>
          </w:p>
        </w:tc>
        <w:tc>
          <w:tcPr>
            <w:tcW w:w="1780" w:type="dxa"/>
            <w:tcBorders>
              <w:tl2br w:val="nil"/>
              <w:tr2bl w:val="nil"/>
            </w:tcBorders>
            <w:shd w:val="clear" w:color="auto" w:fill="FFFFFF"/>
            <w:tcMar>
              <w:top w:w="15" w:type="dxa"/>
              <w:left w:w="15" w:type="dxa"/>
              <w:right w:w="15" w:type="dxa"/>
            </w:tcMar>
            <w:vAlign w:val="center"/>
          </w:tcPr>
          <w:p w14:paraId="15ECF10E">
            <w:pPr>
              <w:keepNext w:val="0"/>
              <w:keepLines w:val="0"/>
              <w:widowControl/>
              <w:suppressLineNumbers w:val="0"/>
              <w:jc w:val="center"/>
              <w:textAlignment w:val="center"/>
              <w:rPr>
                <w:rFonts w:hint="eastAsia" w:ascii="宋体" w:hAnsi="宋体" w:cs="宋体" w:eastAsiaTheme="minorEastAsia"/>
                <w:i w:val="0"/>
                <w:iCs w:val="0"/>
                <w:color w:val="0000FF"/>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黄云超</w:t>
            </w:r>
          </w:p>
        </w:tc>
        <w:tc>
          <w:tcPr>
            <w:tcW w:w="2263" w:type="dxa"/>
            <w:tcBorders>
              <w:tl2br w:val="nil"/>
              <w:tr2bl w:val="nil"/>
            </w:tcBorders>
            <w:shd w:val="clear" w:color="auto" w:fill="FFFFFF"/>
            <w:tcMar>
              <w:top w:w="15" w:type="dxa"/>
              <w:left w:w="15" w:type="dxa"/>
              <w:right w:w="15" w:type="dxa"/>
            </w:tcMar>
            <w:vAlign w:val="center"/>
          </w:tcPr>
          <w:p w14:paraId="0732F8E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7E2E4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E33E5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1" w:type="dxa"/>
            <w:tcBorders>
              <w:tl2br w:val="nil"/>
              <w:tr2bl w:val="nil"/>
            </w:tcBorders>
            <w:shd w:val="clear" w:color="auto" w:fill="FFFFFF"/>
            <w:noWrap/>
            <w:tcMar>
              <w:top w:w="15" w:type="dxa"/>
              <w:left w:w="15" w:type="dxa"/>
              <w:right w:w="15" w:type="dxa"/>
            </w:tcMar>
            <w:vAlign w:val="center"/>
          </w:tcPr>
          <w:p w14:paraId="0B9ADA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5407" w:type="dxa"/>
            <w:tcBorders>
              <w:tl2br w:val="nil"/>
              <w:tr2bl w:val="nil"/>
            </w:tcBorders>
            <w:shd w:val="clear" w:color="auto" w:fill="FFFFFF"/>
            <w:tcMar>
              <w:top w:w="15" w:type="dxa"/>
              <w:left w:w="15" w:type="dxa"/>
              <w:right w:w="15" w:type="dxa"/>
            </w:tcMar>
            <w:vAlign w:val="center"/>
          </w:tcPr>
          <w:p w14:paraId="2DB71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一项评估早期或局部晚期 HER2 阳性乳腺癌术前接受 KM118 或帕妥珠单抗分别联合曲妥珠单抗、多西他赛等效性的多中心、随机、双盲、平行对照 III 期研究</w:t>
            </w:r>
          </w:p>
        </w:tc>
        <w:tc>
          <w:tcPr>
            <w:tcW w:w="1725" w:type="dxa"/>
            <w:tcBorders>
              <w:tl2br w:val="nil"/>
              <w:tr2bl w:val="nil"/>
            </w:tcBorders>
            <w:shd w:val="clear" w:color="auto" w:fill="FFFFFF"/>
            <w:tcMar>
              <w:top w:w="15" w:type="dxa"/>
              <w:left w:w="15" w:type="dxa"/>
              <w:right w:w="15" w:type="dxa"/>
            </w:tcMar>
            <w:vAlign w:val="center"/>
          </w:tcPr>
          <w:p w14:paraId="33DE2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早期或局部晚期 HER2 阳性乳腺癌</w:t>
            </w:r>
          </w:p>
        </w:tc>
        <w:tc>
          <w:tcPr>
            <w:tcW w:w="1425" w:type="dxa"/>
            <w:tcBorders>
              <w:tl2br w:val="nil"/>
              <w:tr2bl w:val="nil"/>
            </w:tcBorders>
            <w:shd w:val="clear" w:color="auto" w:fill="FFFFFF"/>
            <w:tcMar>
              <w:top w:w="15" w:type="dxa"/>
              <w:left w:w="15" w:type="dxa"/>
              <w:right w:w="15" w:type="dxa"/>
            </w:tcMar>
            <w:vAlign w:val="center"/>
          </w:tcPr>
          <w:p w14:paraId="372A80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乳腺外二科</w:t>
            </w:r>
          </w:p>
        </w:tc>
        <w:tc>
          <w:tcPr>
            <w:tcW w:w="1780" w:type="dxa"/>
            <w:tcBorders>
              <w:tl2br w:val="nil"/>
              <w:tr2bl w:val="nil"/>
            </w:tcBorders>
            <w:shd w:val="clear" w:color="auto" w:fill="FFFFFF"/>
            <w:tcMar>
              <w:top w:w="15" w:type="dxa"/>
              <w:left w:w="15" w:type="dxa"/>
              <w:right w:w="15" w:type="dxa"/>
            </w:tcMar>
            <w:vAlign w:val="center"/>
          </w:tcPr>
          <w:p w14:paraId="325924E6">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唐一吟</w:t>
            </w:r>
          </w:p>
        </w:tc>
        <w:tc>
          <w:tcPr>
            <w:tcW w:w="2263" w:type="dxa"/>
            <w:tcBorders>
              <w:tl2br w:val="nil"/>
              <w:tr2bl w:val="nil"/>
            </w:tcBorders>
            <w:shd w:val="clear" w:color="auto" w:fill="FFFFFF"/>
            <w:tcMar>
              <w:top w:w="15" w:type="dxa"/>
              <w:left w:w="15" w:type="dxa"/>
              <w:right w:w="15" w:type="dxa"/>
            </w:tcMar>
            <w:vAlign w:val="center"/>
          </w:tcPr>
          <w:p w14:paraId="1DB316E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32BC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E6424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1" w:type="dxa"/>
            <w:tcBorders>
              <w:tl2br w:val="nil"/>
              <w:tr2bl w:val="nil"/>
            </w:tcBorders>
            <w:shd w:val="clear" w:color="auto" w:fill="auto"/>
            <w:noWrap/>
            <w:tcMar>
              <w:top w:w="15" w:type="dxa"/>
              <w:left w:w="15" w:type="dxa"/>
              <w:right w:w="15" w:type="dxa"/>
            </w:tcMar>
            <w:vAlign w:val="center"/>
          </w:tcPr>
          <w:p w14:paraId="5DAD9AF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407" w:type="dxa"/>
            <w:tcBorders>
              <w:tl2br w:val="nil"/>
              <w:tr2bl w:val="nil"/>
            </w:tcBorders>
            <w:shd w:val="clear" w:color="auto" w:fill="auto"/>
            <w:tcMar>
              <w:top w:w="15" w:type="dxa"/>
              <w:left w:w="15" w:type="dxa"/>
              <w:right w:w="15" w:type="dxa"/>
            </w:tcMar>
            <w:vAlign w:val="center"/>
          </w:tcPr>
          <w:p w14:paraId="47041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AL8326片治疗至少接受二线治疗方案后疾病进展或复发的小细胞肺癌患者的III期临床研究</w:t>
            </w:r>
          </w:p>
        </w:tc>
        <w:tc>
          <w:tcPr>
            <w:tcW w:w="1725" w:type="dxa"/>
            <w:tcBorders>
              <w:tl2br w:val="nil"/>
              <w:tr2bl w:val="nil"/>
            </w:tcBorders>
            <w:shd w:val="clear" w:color="auto" w:fill="auto"/>
            <w:tcMar>
              <w:top w:w="15" w:type="dxa"/>
              <w:left w:w="15" w:type="dxa"/>
              <w:right w:w="15" w:type="dxa"/>
            </w:tcMar>
            <w:vAlign w:val="center"/>
          </w:tcPr>
          <w:p w14:paraId="0F1505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二线治疗方案后疾病进展或复发的小细胞肺癌</w:t>
            </w:r>
          </w:p>
        </w:tc>
        <w:tc>
          <w:tcPr>
            <w:tcW w:w="1425" w:type="dxa"/>
            <w:tcBorders>
              <w:tl2br w:val="nil"/>
              <w:tr2bl w:val="nil"/>
            </w:tcBorders>
            <w:shd w:val="clear" w:color="auto" w:fill="auto"/>
            <w:tcMar>
              <w:top w:w="15" w:type="dxa"/>
              <w:left w:w="15" w:type="dxa"/>
              <w:right w:w="15" w:type="dxa"/>
            </w:tcMar>
            <w:vAlign w:val="center"/>
          </w:tcPr>
          <w:p w14:paraId="684774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auto"/>
            <w:tcMar>
              <w:top w:w="15" w:type="dxa"/>
              <w:left w:w="15" w:type="dxa"/>
              <w:right w:w="15" w:type="dxa"/>
            </w:tcMar>
            <w:vAlign w:val="center"/>
          </w:tcPr>
          <w:p w14:paraId="32F157B9">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auto"/>
            <w:tcMar>
              <w:top w:w="15" w:type="dxa"/>
              <w:left w:w="15" w:type="dxa"/>
              <w:right w:w="15" w:type="dxa"/>
            </w:tcMar>
            <w:vAlign w:val="center"/>
          </w:tcPr>
          <w:p w14:paraId="201A46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auto"/>
            <w:noWrap/>
            <w:tcMar>
              <w:top w:w="15" w:type="dxa"/>
              <w:left w:w="15" w:type="dxa"/>
              <w:right w:w="15" w:type="dxa"/>
            </w:tcMar>
            <w:vAlign w:val="center"/>
          </w:tcPr>
          <w:p w14:paraId="75912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8C544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1" w:type="dxa"/>
            <w:tcBorders>
              <w:tl2br w:val="nil"/>
              <w:tr2bl w:val="nil"/>
            </w:tcBorders>
            <w:shd w:val="clear" w:color="auto" w:fill="FFFFFF"/>
            <w:noWrap/>
            <w:tcMar>
              <w:top w:w="15" w:type="dxa"/>
              <w:left w:w="15" w:type="dxa"/>
              <w:right w:w="15" w:type="dxa"/>
            </w:tcMar>
            <w:vAlign w:val="center"/>
          </w:tcPr>
          <w:p w14:paraId="7F22DB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5407" w:type="dxa"/>
            <w:tcBorders>
              <w:tl2br w:val="nil"/>
              <w:tr2bl w:val="nil"/>
            </w:tcBorders>
            <w:shd w:val="clear" w:color="auto" w:fill="FFFFFF"/>
            <w:tcMar>
              <w:top w:w="15" w:type="dxa"/>
              <w:left w:w="15" w:type="dxa"/>
              <w:right w:w="15" w:type="dxa"/>
            </w:tcMar>
            <w:vAlign w:val="center"/>
          </w:tcPr>
          <w:p w14:paraId="6F1DC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注射用SHR-A1811对比注射用恩美曲妥珠单抗（T-DM1）在新辅助治疗后存在浸润癌残留的HER2阳性乳腺癌辅助治疗中的随机、开放、平行对照、多中心III期临床研究</w:t>
            </w:r>
          </w:p>
        </w:tc>
        <w:tc>
          <w:tcPr>
            <w:tcW w:w="1725" w:type="dxa"/>
            <w:tcBorders>
              <w:tl2br w:val="nil"/>
              <w:tr2bl w:val="nil"/>
            </w:tcBorders>
            <w:shd w:val="clear" w:color="auto" w:fill="FFFFFF"/>
            <w:tcMar>
              <w:top w:w="15" w:type="dxa"/>
              <w:left w:w="15" w:type="dxa"/>
              <w:right w:w="15" w:type="dxa"/>
            </w:tcMar>
            <w:vAlign w:val="center"/>
          </w:tcPr>
          <w:p w14:paraId="3F207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新辅助治疗后存在浸润癌残留的HER2阳性乳腺癌</w:t>
            </w:r>
          </w:p>
        </w:tc>
        <w:tc>
          <w:tcPr>
            <w:tcW w:w="1425" w:type="dxa"/>
            <w:tcBorders>
              <w:tl2br w:val="nil"/>
              <w:tr2bl w:val="nil"/>
            </w:tcBorders>
            <w:shd w:val="clear" w:color="auto" w:fill="FFFFFF"/>
            <w:tcMar>
              <w:top w:w="15" w:type="dxa"/>
              <w:left w:w="15" w:type="dxa"/>
              <w:right w:w="15" w:type="dxa"/>
            </w:tcMar>
            <w:vAlign w:val="center"/>
          </w:tcPr>
          <w:p w14:paraId="122B11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00F6C55F">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聂建云</w:t>
            </w:r>
          </w:p>
        </w:tc>
        <w:tc>
          <w:tcPr>
            <w:tcW w:w="2263" w:type="dxa"/>
            <w:tcBorders>
              <w:tl2br w:val="nil"/>
              <w:tr2bl w:val="nil"/>
            </w:tcBorders>
            <w:shd w:val="clear" w:color="auto" w:fill="FFFFFF"/>
            <w:tcMar>
              <w:top w:w="15" w:type="dxa"/>
              <w:left w:w="15" w:type="dxa"/>
              <w:right w:w="15" w:type="dxa"/>
            </w:tcMar>
            <w:vAlign w:val="center"/>
          </w:tcPr>
          <w:p w14:paraId="21D08DD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7AB9F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00FA3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5370E04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5407" w:type="dxa"/>
            <w:tcBorders>
              <w:tl2br w:val="nil"/>
              <w:tr2bl w:val="nil"/>
            </w:tcBorders>
            <w:shd w:val="clear" w:color="auto" w:fill="FFFFFF"/>
            <w:tcMar>
              <w:top w:w="15" w:type="dxa"/>
              <w:left w:w="15" w:type="dxa"/>
              <w:right w:w="15" w:type="dxa"/>
            </w:tcMar>
            <w:vAlign w:val="center"/>
          </w:tcPr>
          <w:p w14:paraId="22484A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注射用SHR-A1811联合或不联合帕妥珠单抗对比曲妥珠单抗、帕妥珠单抗和多西他赛治疗HER2阳性复发或转移性乳腺癌的多中心、随机、开放、阳性对照Ⅲ期临床研究 </w:t>
            </w:r>
          </w:p>
        </w:tc>
        <w:tc>
          <w:tcPr>
            <w:tcW w:w="1725" w:type="dxa"/>
            <w:tcBorders>
              <w:tl2br w:val="nil"/>
              <w:tr2bl w:val="nil"/>
            </w:tcBorders>
            <w:shd w:val="clear" w:color="auto" w:fill="FFFFFF"/>
            <w:tcMar>
              <w:top w:w="15" w:type="dxa"/>
              <w:left w:w="15" w:type="dxa"/>
              <w:right w:w="15" w:type="dxa"/>
            </w:tcMar>
            <w:vAlign w:val="center"/>
          </w:tcPr>
          <w:p w14:paraId="10B412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HER2阳性复发或转移性乳腺癌患者</w:t>
            </w:r>
          </w:p>
        </w:tc>
        <w:tc>
          <w:tcPr>
            <w:tcW w:w="1425" w:type="dxa"/>
            <w:tcBorders>
              <w:tl2br w:val="nil"/>
              <w:tr2bl w:val="nil"/>
            </w:tcBorders>
            <w:shd w:val="clear" w:color="auto" w:fill="FFFFFF"/>
            <w:noWrap/>
            <w:tcMar>
              <w:top w:w="15" w:type="dxa"/>
              <w:left w:w="15" w:type="dxa"/>
              <w:right w:w="15" w:type="dxa"/>
            </w:tcMar>
            <w:vAlign w:val="center"/>
          </w:tcPr>
          <w:p w14:paraId="53DA62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244C7B3E">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聂建云</w:t>
            </w:r>
          </w:p>
        </w:tc>
        <w:tc>
          <w:tcPr>
            <w:tcW w:w="2263" w:type="dxa"/>
            <w:tcBorders>
              <w:tl2br w:val="nil"/>
              <w:tr2bl w:val="nil"/>
            </w:tcBorders>
            <w:shd w:val="clear" w:color="auto" w:fill="FFFFFF"/>
            <w:tcMar>
              <w:top w:w="15" w:type="dxa"/>
              <w:left w:w="15" w:type="dxa"/>
              <w:right w:w="15" w:type="dxa"/>
            </w:tcMar>
            <w:vAlign w:val="center"/>
          </w:tcPr>
          <w:p w14:paraId="4C2B86A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tcMar>
              <w:top w:w="15" w:type="dxa"/>
              <w:left w:w="15" w:type="dxa"/>
              <w:right w:w="15" w:type="dxa"/>
            </w:tcMar>
            <w:vAlign w:val="center"/>
          </w:tcPr>
          <w:p w14:paraId="6CB746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2BB27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l2br w:val="nil"/>
              <w:tr2bl w:val="nil"/>
            </w:tcBorders>
            <w:shd w:val="clear" w:color="auto" w:fill="FFFFFF"/>
            <w:noWrap/>
            <w:tcMar>
              <w:top w:w="15" w:type="dxa"/>
              <w:left w:w="15" w:type="dxa"/>
              <w:right w:w="15" w:type="dxa"/>
            </w:tcMar>
            <w:vAlign w:val="center"/>
          </w:tcPr>
          <w:p w14:paraId="7FE4686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5407" w:type="dxa"/>
            <w:tcBorders>
              <w:tl2br w:val="nil"/>
              <w:tr2bl w:val="nil"/>
            </w:tcBorders>
            <w:shd w:val="clear" w:color="auto" w:fill="FFFFFF"/>
            <w:tcMar>
              <w:top w:w="15" w:type="dxa"/>
              <w:left w:w="15" w:type="dxa"/>
              <w:right w:w="15" w:type="dxa"/>
            </w:tcMar>
            <w:vAlign w:val="center"/>
          </w:tcPr>
          <w:p w14:paraId="4E3F5F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评价ASKB589注射液或安慰剂联合CAPOX（奥沙利铂和卡培他滨）及PD-1抑制剂一线治疗CLDN18.2阳性的不可切除的局部晚期、复发性或转移性胃及食管胃交界处腺癌患者的有效性和安全性的III期临床研究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14:paraId="285BE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胃及食管胃交界处腺癌</w:t>
            </w:r>
          </w:p>
        </w:tc>
        <w:tc>
          <w:tcPr>
            <w:tcW w:w="1425" w:type="dxa"/>
            <w:tcBorders>
              <w:tl2br w:val="nil"/>
              <w:tr2bl w:val="nil"/>
            </w:tcBorders>
            <w:shd w:val="clear" w:color="auto" w:fill="FFFFFF"/>
            <w:tcMar>
              <w:top w:w="15" w:type="dxa"/>
              <w:left w:w="15" w:type="dxa"/>
              <w:right w:w="15" w:type="dxa"/>
            </w:tcMar>
            <w:vAlign w:val="center"/>
          </w:tcPr>
          <w:p w14:paraId="60CFEE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2F0AA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1" w:name="_GoBack"/>
            <w:bookmarkEnd w:id="1"/>
            <w:r>
              <w:rPr>
                <w:rFonts w:hint="eastAsia" w:ascii="宋体" w:hAnsi="宋体" w:eastAsia="宋体" w:cs="宋体"/>
                <w:i w:val="0"/>
                <w:iCs w:val="0"/>
                <w:color w:val="000000"/>
                <w:kern w:val="0"/>
                <w:sz w:val="18"/>
                <w:szCs w:val="18"/>
                <w:u w:val="none"/>
                <w:lang w:val="en-US" w:eastAsia="zh-CN" w:bidi="ar"/>
              </w:rPr>
              <w:t>谢琳</w:t>
            </w:r>
          </w:p>
        </w:tc>
        <w:tc>
          <w:tcPr>
            <w:tcW w:w="2263" w:type="dxa"/>
            <w:tcBorders>
              <w:tl2br w:val="nil"/>
              <w:tr2bl w:val="nil"/>
            </w:tcBorders>
            <w:shd w:val="clear" w:color="auto" w:fill="FFFFFF"/>
            <w:tcMar>
              <w:top w:w="15" w:type="dxa"/>
              <w:left w:w="15" w:type="dxa"/>
              <w:right w:w="15" w:type="dxa"/>
            </w:tcMar>
            <w:vAlign w:val="center"/>
          </w:tcPr>
          <w:p w14:paraId="47EB34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C6CB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9C140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2E0A88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5407" w:type="dxa"/>
            <w:tcBorders>
              <w:tl2br w:val="nil"/>
              <w:tr2bl w:val="nil"/>
            </w:tcBorders>
            <w:shd w:val="clear" w:color="auto" w:fill="FFFFFF"/>
            <w:tcMar>
              <w:top w:w="15" w:type="dxa"/>
              <w:left w:w="15" w:type="dxa"/>
              <w:right w:w="15" w:type="dxa"/>
            </w:tcMar>
            <w:vAlign w:val="center"/>
          </w:tcPr>
          <w:p w14:paraId="3F3F1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评价SI-B003 单药及BL-B01D1+SI-B003 双药治疗局部晚期或转移性食管癌、胃癌、结直肠癌等消化道系统肿瘤患者的有效性和安全性的II 期临床研究</w:t>
            </w:r>
          </w:p>
        </w:tc>
        <w:tc>
          <w:tcPr>
            <w:tcW w:w="1725" w:type="dxa"/>
            <w:tcBorders>
              <w:tl2br w:val="nil"/>
              <w:tr2bl w:val="nil"/>
            </w:tcBorders>
            <w:shd w:val="clear" w:color="auto" w:fill="FFFFFF"/>
            <w:tcMar>
              <w:top w:w="15" w:type="dxa"/>
              <w:left w:w="15" w:type="dxa"/>
              <w:right w:w="15" w:type="dxa"/>
            </w:tcMar>
            <w:vAlign w:val="center"/>
          </w:tcPr>
          <w:p w14:paraId="6B3DE7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经病理组织学和/或细胞学确诊的局部晚期或转移性食管癌、胃癌、结直肠癌等消化道系统肿瘤患者</w:t>
            </w:r>
          </w:p>
        </w:tc>
        <w:tc>
          <w:tcPr>
            <w:tcW w:w="1425" w:type="dxa"/>
            <w:tcBorders>
              <w:tl2br w:val="nil"/>
              <w:tr2bl w:val="nil"/>
            </w:tcBorders>
            <w:shd w:val="clear" w:color="auto" w:fill="FFFFFF"/>
            <w:tcMar>
              <w:top w:w="15" w:type="dxa"/>
              <w:left w:w="15" w:type="dxa"/>
              <w:right w:w="15" w:type="dxa"/>
            </w:tcMar>
            <w:vAlign w:val="center"/>
          </w:tcPr>
          <w:p w14:paraId="1C64A9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4F384F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谢琳</w:t>
            </w:r>
          </w:p>
        </w:tc>
        <w:tc>
          <w:tcPr>
            <w:tcW w:w="2263" w:type="dxa"/>
            <w:tcBorders>
              <w:tl2br w:val="nil"/>
              <w:tr2bl w:val="nil"/>
            </w:tcBorders>
            <w:shd w:val="clear" w:color="auto" w:fill="FFFFFF"/>
            <w:tcMar>
              <w:top w:w="15" w:type="dxa"/>
              <w:left w:w="15" w:type="dxa"/>
              <w:right w:w="15" w:type="dxa"/>
            </w:tcMar>
            <w:vAlign w:val="center"/>
          </w:tcPr>
          <w:p w14:paraId="7769F50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84F32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FF4A0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65C163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5407" w:type="dxa"/>
            <w:tcBorders>
              <w:tl2br w:val="nil"/>
              <w:tr2bl w:val="nil"/>
            </w:tcBorders>
            <w:shd w:val="clear" w:color="auto" w:fill="FFFFFF"/>
            <w:tcMar>
              <w:top w:w="15" w:type="dxa"/>
              <w:left w:w="15" w:type="dxa"/>
              <w:right w:w="15" w:type="dxa"/>
            </w:tcMar>
            <w:vAlign w:val="center"/>
          </w:tcPr>
          <w:p w14:paraId="1CF30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恩沃利单抗联合含铂双药化疗对比安慰剂联合含铂双药化疗用于可切除 III 期非小细胞肺癌患者新辅助/辅助治 疗的随机、对照、双盲、多中心 III 期临床研究</w:t>
            </w:r>
          </w:p>
        </w:tc>
        <w:tc>
          <w:tcPr>
            <w:tcW w:w="1725" w:type="dxa"/>
            <w:tcBorders>
              <w:tl2br w:val="nil"/>
              <w:tr2bl w:val="nil"/>
            </w:tcBorders>
            <w:shd w:val="clear" w:color="auto" w:fill="FFFFFF"/>
            <w:tcMar>
              <w:top w:w="15" w:type="dxa"/>
              <w:left w:w="15" w:type="dxa"/>
              <w:right w:w="15" w:type="dxa"/>
            </w:tcMar>
            <w:vAlign w:val="center"/>
          </w:tcPr>
          <w:p w14:paraId="7A897C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57C34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40AE88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李高峰</w:t>
            </w:r>
          </w:p>
        </w:tc>
        <w:tc>
          <w:tcPr>
            <w:tcW w:w="2263" w:type="dxa"/>
            <w:tcBorders>
              <w:tl2br w:val="nil"/>
              <w:tr2bl w:val="nil"/>
            </w:tcBorders>
            <w:shd w:val="clear" w:color="auto" w:fill="FFFFFF"/>
            <w:tcMar>
              <w:top w:w="15" w:type="dxa"/>
              <w:left w:w="15" w:type="dxa"/>
              <w:right w:w="15" w:type="dxa"/>
            </w:tcMar>
            <w:vAlign w:val="center"/>
          </w:tcPr>
          <w:p w14:paraId="491E6A7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BEA0C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105C2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503AC8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5407" w:type="dxa"/>
            <w:tcBorders>
              <w:tl2br w:val="nil"/>
              <w:tr2bl w:val="nil"/>
            </w:tcBorders>
            <w:shd w:val="clear" w:color="auto" w:fill="FFFFFF"/>
            <w:tcMar>
              <w:top w:w="15" w:type="dxa"/>
              <w:left w:w="15" w:type="dxa"/>
              <w:right w:w="15" w:type="dxa"/>
            </w:tcMar>
            <w:vAlign w:val="center"/>
          </w:tcPr>
          <w:p w14:paraId="141C66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一项比较DB-1303与研究者选择的化疗方案在接受内分泌治疗后出现疾病进展的Her2低表达、激素受体阳性转移性乳腺癌患者中的Ⅲ期、随机、多中心、开放性研究</w:t>
            </w:r>
          </w:p>
        </w:tc>
        <w:tc>
          <w:tcPr>
            <w:tcW w:w="1725" w:type="dxa"/>
            <w:tcBorders>
              <w:tl2br w:val="nil"/>
              <w:tr2bl w:val="nil"/>
            </w:tcBorders>
            <w:shd w:val="clear" w:color="auto" w:fill="FFFFFF"/>
            <w:tcMar>
              <w:top w:w="15" w:type="dxa"/>
              <w:left w:w="15" w:type="dxa"/>
              <w:right w:w="15" w:type="dxa"/>
            </w:tcMar>
            <w:vAlign w:val="center"/>
          </w:tcPr>
          <w:p w14:paraId="069BE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Her2低表达、激素受体阳性转移性乳腺癌患者</w:t>
            </w:r>
          </w:p>
        </w:tc>
        <w:tc>
          <w:tcPr>
            <w:tcW w:w="1425" w:type="dxa"/>
            <w:tcBorders>
              <w:tl2br w:val="nil"/>
              <w:tr2bl w:val="nil"/>
            </w:tcBorders>
            <w:shd w:val="clear" w:color="auto" w:fill="FFFFFF"/>
            <w:tcMar>
              <w:top w:w="15" w:type="dxa"/>
              <w:left w:w="15" w:type="dxa"/>
              <w:right w:w="15" w:type="dxa"/>
            </w:tcMar>
            <w:vAlign w:val="center"/>
          </w:tcPr>
          <w:p w14:paraId="607DF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228F4C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聂建云</w:t>
            </w:r>
          </w:p>
        </w:tc>
        <w:tc>
          <w:tcPr>
            <w:tcW w:w="2263" w:type="dxa"/>
            <w:tcBorders>
              <w:tl2br w:val="nil"/>
              <w:tr2bl w:val="nil"/>
            </w:tcBorders>
            <w:shd w:val="clear" w:color="auto" w:fill="FFFFFF"/>
            <w:tcMar>
              <w:top w:w="15" w:type="dxa"/>
              <w:left w:w="15" w:type="dxa"/>
              <w:right w:w="15" w:type="dxa"/>
            </w:tcMar>
            <w:vAlign w:val="center"/>
          </w:tcPr>
          <w:p w14:paraId="06A4CB8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3080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62CD9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5BEFB0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5407" w:type="dxa"/>
            <w:tcBorders>
              <w:tl2br w:val="nil"/>
              <w:tr2bl w:val="nil"/>
            </w:tcBorders>
            <w:shd w:val="clear" w:color="auto" w:fill="FFFFFF"/>
            <w:tcMar>
              <w:top w:w="15" w:type="dxa"/>
              <w:left w:w="15" w:type="dxa"/>
              <w:right w:w="15" w:type="dxa"/>
            </w:tcMar>
            <w:vAlign w:val="center"/>
          </w:tcPr>
          <w:p w14:paraId="7986E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评估TQB3454片治疗伴IDH1突变晚期胆道癌癌有效性和安全性的随机、双盲、安慰剂对照、多中心lll期临床试验</w:t>
            </w:r>
          </w:p>
        </w:tc>
        <w:tc>
          <w:tcPr>
            <w:tcW w:w="1725" w:type="dxa"/>
            <w:tcBorders>
              <w:tl2br w:val="nil"/>
              <w:tr2bl w:val="nil"/>
            </w:tcBorders>
            <w:shd w:val="clear" w:color="auto" w:fill="FFFFFF"/>
            <w:tcMar>
              <w:top w:w="15" w:type="dxa"/>
              <w:left w:w="15" w:type="dxa"/>
              <w:right w:w="15" w:type="dxa"/>
            </w:tcMar>
            <w:vAlign w:val="center"/>
          </w:tcPr>
          <w:p w14:paraId="2CDBBF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IDH1突变晚期胆道癌癌</w:t>
            </w:r>
          </w:p>
        </w:tc>
        <w:tc>
          <w:tcPr>
            <w:tcW w:w="1425" w:type="dxa"/>
            <w:tcBorders>
              <w:tl2br w:val="nil"/>
              <w:tr2bl w:val="nil"/>
            </w:tcBorders>
            <w:shd w:val="clear" w:color="auto" w:fill="FFFFFF"/>
            <w:tcMar>
              <w:top w:w="15" w:type="dxa"/>
              <w:left w:w="15" w:type="dxa"/>
              <w:right w:w="15" w:type="dxa"/>
            </w:tcMar>
            <w:vAlign w:val="center"/>
          </w:tcPr>
          <w:p w14:paraId="1F631A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77D66D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谢琳</w:t>
            </w:r>
          </w:p>
        </w:tc>
        <w:tc>
          <w:tcPr>
            <w:tcW w:w="2263" w:type="dxa"/>
            <w:tcBorders>
              <w:tl2br w:val="nil"/>
              <w:tr2bl w:val="nil"/>
            </w:tcBorders>
            <w:shd w:val="clear" w:color="auto" w:fill="FFFFFF"/>
            <w:tcMar>
              <w:top w:w="15" w:type="dxa"/>
              <w:left w:w="15" w:type="dxa"/>
              <w:right w:w="15" w:type="dxa"/>
            </w:tcMar>
            <w:vAlign w:val="center"/>
          </w:tcPr>
          <w:p w14:paraId="37EE887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FE78C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A887B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81F4C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5407" w:type="dxa"/>
            <w:tcBorders>
              <w:tl2br w:val="nil"/>
              <w:tr2bl w:val="nil"/>
            </w:tcBorders>
            <w:shd w:val="clear" w:color="auto" w:fill="FFFFFF"/>
            <w:tcMar>
              <w:top w:w="15" w:type="dxa"/>
              <w:left w:w="15" w:type="dxa"/>
              <w:right w:w="15" w:type="dxa"/>
            </w:tcMar>
            <w:vAlign w:val="center"/>
          </w:tcPr>
          <w:p w14:paraId="38993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PM8002 注射液联合紫杉醇注射液对比化疗二线治疗小细胞肺癌的多中心、开放、随机 Ⅲ 期临床研究</w:t>
            </w:r>
          </w:p>
        </w:tc>
        <w:tc>
          <w:tcPr>
            <w:tcW w:w="1725" w:type="dxa"/>
            <w:tcBorders>
              <w:tl2br w:val="nil"/>
              <w:tr2bl w:val="nil"/>
            </w:tcBorders>
            <w:shd w:val="clear" w:color="auto" w:fill="FFFFFF"/>
            <w:tcMar>
              <w:top w:w="15" w:type="dxa"/>
              <w:left w:w="15" w:type="dxa"/>
              <w:right w:w="15" w:type="dxa"/>
            </w:tcMar>
            <w:vAlign w:val="center"/>
          </w:tcPr>
          <w:p w14:paraId="40AF6A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小细胞肺癌</w:t>
            </w:r>
          </w:p>
        </w:tc>
        <w:tc>
          <w:tcPr>
            <w:tcW w:w="1425" w:type="dxa"/>
            <w:tcBorders>
              <w:tl2br w:val="nil"/>
              <w:tr2bl w:val="nil"/>
            </w:tcBorders>
            <w:shd w:val="clear" w:color="auto" w:fill="FFFFFF"/>
            <w:tcMar>
              <w:top w:w="15" w:type="dxa"/>
              <w:left w:w="15" w:type="dxa"/>
              <w:right w:w="15" w:type="dxa"/>
            </w:tcMar>
            <w:vAlign w:val="center"/>
          </w:tcPr>
          <w:p w14:paraId="6994F6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70B6C9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69B7DB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208E9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7319C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6454F1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5407" w:type="dxa"/>
            <w:tcBorders>
              <w:tl2br w:val="nil"/>
              <w:tr2bl w:val="nil"/>
            </w:tcBorders>
            <w:shd w:val="clear" w:color="auto" w:fill="FFFFFF"/>
            <w:tcMar>
              <w:top w:w="15" w:type="dxa"/>
              <w:left w:w="15" w:type="dxa"/>
              <w:right w:w="15" w:type="dxa"/>
            </w:tcMar>
            <w:vAlign w:val="center"/>
          </w:tcPr>
          <w:p w14:paraId="2FF12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评价 ASKC202 片或联合 ASK120067 片在晚期实体瘤患者中的安全性、耐受性、药代动力学特征及初步有效性的开放、多中心、I 期临床试验 </w:t>
            </w:r>
          </w:p>
        </w:tc>
        <w:tc>
          <w:tcPr>
            <w:tcW w:w="1725" w:type="dxa"/>
            <w:tcBorders>
              <w:tl2br w:val="nil"/>
              <w:tr2bl w:val="nil"/>
            </w:tcBorders>
            <w:shd w:val="clear" w:color="auto" w:fill="FFFFFF"/>
            <w:tcMar>
              <w:top w:w="15" w:type="dxa"/>
              <w:left w:w="15" w:type="dxa"/>
              <w:right w:w="15" w:type="dxa"/>
            </w:tcMar>
            <w:vAlign w:val="center"/>
          </w:tcPr>
          <w:p w14:paraId="37B31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1006C6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14C09A64">
            <w:pPr>
              <w:keepNext w:val="0"/>
              <w:keepLines w:val="0"/>
              <w:widowControl/>
              <w:suppressLineNumbers w:val="0"/>
              <w:jc w:val="center"/>
              <w:textAlignment w:val="center"/>
              <w:rPr>
                <w:rFonts w:hint="eastAsia" w:ascii="宋体" w:hAnsi="宋体" w:cs="宋体" w:eastAsiaTheme="minorEastAsia"/>
                <w:i w:val="0"/>
                <w:iCs w:val="0"/>
                <w:color w:val="0000FF"/>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25B3FC2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EC9C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5FB6B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A5861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5407" w:type="dxa"/>
            <w:tcBorders>
              <w:tl2br w:val="nil"/>
              <w:tr2bl w:val="nil"/>
            </w:tcBorders>
            <w:shd w:val="clear" w:color="auto" w:fill="FFFFFF"/>
            <w:tcMar>
              <w:top w:w="15" w:type="dxa"/>
              <w:left w:w="15" w:type="dxa"/>
              <w:right w:w="15" w:type="dxa"/>
            </w:tcMar>
            <w:vAlign w:val="center"/>
          </w:tcPr>
          <w:p w14:paraId="58AB43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评估ND003在晚期实体瘤患者中的安全性、耐受性、药代动力学和药效动力学特征以及初步有效性的单臂、非随机、开放、剂量递增及剂量扩展、多中心I期临床研究</w:t>
            </w:r>
          </w:p>
        </w:tc>
        <w:tc>
          <w:tcPr>
            <w:tcW w:w="1725" w:type="dxa"/>
            <w:tcBorders>
              <w:tl2br w:val="nil"/>
              <w:tr2bl w:val="nil"/>
            </w:tcBorders>
            <w:shd w:val="clear" w:color="auto" w:fill="FFFFFF"/>
            <w:tcMar>
              <w:top w:w="15" w:type="dxa"/>
              <w:left w:w="15" w:type="dxa"/>
              <w:right w:w="15" w:type="dxa"/>
            </w:tcMar>
            <w:vAlign w:val="center"/>
          </w:tcPr>
          <w:p w14:paraId="3E5CE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晚期实体瘤患者</w:t>
            </w:r>
          </w:p>
        </w:tc>
        <w:tc>
          <w:tcPr>
            <w:tcW w:w="1425" w:type="dxa"/>
            <w:tcBorders>
              <w:tl2br w:val="nil"/>
              <w:tr2bl w:val="nil"/>
            </w:tcBorders>
            <w:shd w:val="clear" w:color="auto" w:fill="FFFFFF"/>
            <w:tcMar>
              <w:top w:w="15" w:type="dxa"/>
              <w:left w:w="15" w:type="dxa"/>
              <w:right w:w="15" w:type="dxa"/>
            </w:tcMar>
            <w:vAlign w:val="center"/>
          </w:tcPr>
          <w:p w14:paraId="46ACEB0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65A2CD53">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633644F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DB1E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5DA18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61" w:type="dxa"/>
            <w:tcBorders>
              <w:tl2br w:val="nil"/>
              <w:tr2bl w:val="nil"/>
            </w:tcBorders>
            <w:shd w:val="clear" w:color="auto" w:fill="FFFFFF"/>
            <w:noWrap/>
            <w:tcMar>
              <w:top w:w="15" w:type="dxa"/>
              <w:left w:w="15" w:type="dxa"/>
              <w:right w:w="15" w:type="dxa"/>
            </w:tcMar>
            <w:vAlign w:val="center"/>
          </w:tcPr>
          <w:p w14:paraId="7B3BED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5407" w:type="dxa"/>
            <w:tcBorders>
              <w:tl2br w:val="nil"/>
              <w:tr2bl w:val="nil"/>
            </w:tcBorders>
            <w:shd w:val="clear" w:color="auto" w:fill="FFFFFF"/>
            <w:tcMar>
              <w:top w:w="15" w:type="dxa"/>
              <w:left w:w="15" w:type="dxa"/>
              <w:right w:w="15" w:type="dxa"/>
            </w:tcMar>
            <w:vAlign w:val="center"/>
          </w:tcPr>
          <w:p w14:paraId="0A726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在既往使用1种新型内分泌治疗（NHA）期间或之后发生疾病进展的转移性去势抵抗性前列腺癌（mCRPC)患者中比较MK-5684与可选择的醋酸阿比特龙或恩扎卢胺的III期、随机、开放性研究</w:t>
            </w:r>
          </w:p>
        </w:tc>
        <w:tc>
          <w:tcPr>
            <w:tcW w:w="1725" w:type="dxa"/>
            <w:tcBorders>
              <w:tl2br w:val="nil"/>
              <w:tr2bl w:val="nil"/>
            </w:tcBorders>
            <w:shd w:val="clear" w:color="auto" w:fill="FFFFFF"/>
            <w:tcMar>
              <w:top w:w="15" w:type="dxa"/>
              <w:left w:w="15" w:type="dxa"/>
              <w:right w:w="15" w:type="dxa"/>
            </w:tcMar>
            <w:vAlign w:val="center"/>
          </w:tcPr>
          <w:p w14:paraId="28BC03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前列腺癌</w:t>
            </w:r>
          </w:p>
        </w:tc>
        <w:tc>
          <w:tcPr>
            <w:tcW w:w="1425" w:type="dxa"/>
            <w:tcBorders>
              <w:tl2br w:val="nil"/>
              <w:tr2bl w:val="nil"/>
            </w:tcBorders>
            <w:shd w:val="clear" w:color="auto" w:fill="FFFFFF"/>
            <w:tcMar>
              <w:top w:w="15" w:type="dxa"/>
              <w:left w:w="15" w:type="dxa"/>
              <w:right w:w="15" w:type="dxa"/>
            </w:tcMar>
            <w:vAlign w:val="center"/>
          </w:tcPr>
          <w:p w14:paraId="27E00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泌尿外科一病区</w:t>
            </w:r>
          </w:p>
        </w:tc>
        <w:tc>
          <w:tcPr>
            <w:tcW w:w="1780" w:type="dxa"/>
            <w:tcBorders>
              <w:tl2br w:val="nil"/>
              <w:tr2bl w:val="nil"/>
            </w:tcBorders>
            <w:shd w:val="clear" w:color="auto" w:fill="FFFFFF"/>
            <w:tcMar>
              <w:top w:w="15" w:type="dxa"/>
              <w:left w:w="15" w:type="dxa"/>
              <w:right w:w="15" w:type="dxa"/>
            </w:tcMar>
            <w:vAlign w:val="center"/>
          </w:tcPr>
          <w:p w14:paraId="2FDFB4E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王启林</w:t>
            </w:r>
          </w:p>
        </w:tc>
        <w:tc>
          <w:tcPr>
            <w:tcW w:w="2263" w:type="dxa"/>
            <w:tcBorders>
              <w:tl2br w:val="nil"/>
              <w:tr2bl w:val="nil"/>
            </w:tcBorders>
            <w:shd w:val="clear" w:color="auto" w:fill="FFFFFF"/>
            <w:tcMar>
              <w:top w:w="15" w:type="dxa"/>
              <w:left w:w="15" w:type="dxa"/>
              <w:right w:w="15" w:type="dxa"/>
            </w:tcMar>
            <w:vAlign w:val="center"/>
          </w:tcPr>
          <w:p w14:paraId="68656BF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525E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0FBA1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rPr>
        <w:tc>
          <w:tcPr>
            <w:tcW w:w="561" w:type="dxa"/>
            <w:tcBorders>
              <w:tl2br w:val="nil"/>
              <w:tr2bl w:val="nil"/>
            </w:tcBorders>
            <w:shd w:val="clear" w:color="auto" w:fill="FFFFFF"/>
            <w:noWrap/>
            <w:tcMar>
              <w:top w:w="15" w:type="dxa"/>
              <w:left w:w="15" w:type="dxa"/>
              <w:right w:w="15" w:type="dxa"/>
            </w:tcMar>
            <w:vAlign w:val="center"/>
          </w:tcPr>
          <w:p w14:paraId="682228F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5407" w:type="dxa"/>
            <w:tcBorders>
              <w:tl2br w:val="nil"/>
              <w:tr2bl w:val="nil"/>
            </w:tcBorders>
            <w:shd w:val="clear" w:color="auto" w:fill="FFFFFF"/>
            <w:tcMar>
              <w:top w:w="15" w:type="dxa"/>
              <w:left w:w="15" w:type="dxa"/>
              <w:right w:w="15" w:type="dxa"/>
            </w:tcMar>
            <w:vAlign w:val="center"/>
          </w:tcPr>
          <w:p w14:paraId="7A587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9MW2821对比研究者选择的化疗治疗既往接受过含铂化疗和PD-（L）1抑制剂治疗的无法手术切除的局部晚期或转移性尿路上皮癌的随机、开放、对照、多中心III期临床研究</w:t>
            </w:r>
          </w:p>
        </w:tc>
        <w:tc>
          <w:tcPr>
            <w:tcW w:w="1725" w:type="dxa"/>
            <w:tcBorders>
              <w:tl2br w:val="nil"/>
              <w:tr2bl w:val="nil"/>
            </w:tcBorders>
            <w:shd w:val="clear" w:color="auto" w:fill="FFFFFF"/>
            <w:tcMar>
              <w:top w:w="15" w:type="dxa"/>
              <w:left w:w="15" w:type="dxa"/>
              <w:right w:w="15" w:type="dxa"/>
            </w:tcMar>
            <w:vAlign w:val="center"/>
          </w:tcPr>
          <w:p w14:paraId="27DAC6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尿路上皮癌</w:t>
            </w:r>
          </w:p>
        </w:tc>
        <w:tc>
          <w:tcPr>
            <w:tcW w:w="1425" w:type="dxa"/>
            <w:tcBorders>
              <w:tl2br w:val="nil"/>
              <w:tr2bl w:val="nil"/>
            </w:tcBorders>
            <w:shd w:val="clear" w:color="auto" w:fill="FFFFFF"/>
            <w:tcMar>
              <w:top w:w="15" w:type="dxa"/>
              <w:left w:w="15" w:type="dxa"/>
              <w:right w:w="15" w:type="dxa"/>
            </w:tcMar>
            <w:vAlign w:val="center"/>
          </w:tcPr>
          <w:p w14:paraId="67381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泌尿外科二病区</w:t>
            </w:r>
          </w:p>
        </w:tc>
        <w:tc>
          <w:tcPr>
            <w:tcW w:w="1780" w:type="dxa"/>
            <w:tcBorders>
              <w:tl2br w:val="nil"/>
              <w:tr2bl w:val="nil"/>
            </w:tcBorders>
            <w:shd w:val="clear" w:color="auto" w:fill="FFFFFF"/>
            <w:tcMar>
              <w:top w:w="15" w:type="dxa"/>
              <w:left w:w="15" w:type="dxa"/>
              <w:right w:w="15" w:type="dxa"/>
            </w:tcMar>
            <w:vAlign w:val="center"/>
          </w:tcPr>
          <w:p w14:paraId="16148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秦扬</w:t>
            </w:r>
          </w:p>
        </w:tc>
        <w:tc>
          <w:tcPr>
            <w:tcW w:w="2263" w:type="dxa"/>
            <w:tcBorders>
              <w:tl2br w:val="nil"/>
              <w:tr2bl w:val="nil"/>
            </w:tcBorders>
            <w:shd w:val="clear" w:color="auto" w:fill="FFFFFF"/>
            <w:tcMar>
              <w:top w:w="15" w:type="dxa"/>
              <w:left w:w="15" w:type="dxa"/>
              <w:right w:w="15" w:type="dxa"/>
            </w:tcMar>
            <w:vAlign w:val="center"/>
          </w:tcPr>
          <w:p w14:paraId="2400E8D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5C668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35A5C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ADE93C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5407" w:type="dxa"/>
            <w:tcBorders>
              <w:tl2br w:val="nil"/>
              <w:tr2bl w:val="nil"/>
            </w:tcBorders>
            <w:shd w:val="clear" w:color="auto" w:fill="FFFFFF"/>
            <w:tcMar>
              <w:top w:w="15" w:type="dxa"/>
              <w:left w:w="15" w:type="dxa"/>
              <w:right w:w="15" w:type="dxa"/>
            </w:tcMar>
            <w:vAlign w:val="center"/>
          </w:tcPr>
          <w:p w14:paraId="72561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一项评价Trastuzumab Deruxtecan （T-DXd ,DS-8201a）治疗选定 HER2过表达肿瘤患者的有效性和安全性的多中心、开放性 II期研究（ DESTINY-PanTumor03）</w:t>
            </w:r>
          </w:p>
        </w:tc>
        <w:tc>
          <w:tcPr>
            <w:tcW w:w="1725" w:type="dxa"/>
            <w:tcBorders>
              <w:tl2br w:val="nil"/>
              <w:tr2bl w:val="nil"/>
            </w:tcBorders>
            <w:shd w:val="clear" w:color="auto" w:fill="FFFFFF"/>
            <w:tcMar>
              <w:top w:w="15" w:type="dxa"/>
              <w:left w:w="15" w:type="dxa"/>
              <w:right w:w="15" w:type="dxa"/>
            </w:tcMar>
            <w:vAlign w:val="center"/>
          </w:tcPr>
          <w:p w14:paraId="04391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宫颈癌、子宫内膜癌、卵巢癌</w:t>
            </w:r>
          </w:p>
        </w:tc>
        <w:tc>
          <w:tcPr>
            <w:tcW w:w="1425" w:type="dxa"/>
            <w:tcBorders>
              <w:tl2br w:val="nil"/>
              <w:tr2bl w:val="nil"/>
            </w:tcBorders>
            <w:shd w:val="clear" w:color="auto" w:fill="FFFFFF"/>
            <w:tcMar>
              <w:top w:w="15" w:type="dxa"/>
              <w:left w:w="15" w:type="dxa"/>
              <w:right w:w="15" w:type="dxa"/>
            </w:tcMar>
            <w:vAlign w:val="center"/>
          </w:tcPr>
          <w:p w14:paraId="03EAC1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25006D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杨宏英</w:t>
            </w:r>
          </w:p>
        </w:tc>
        <w:tc>
          <w:tcPr>
            <w:tcW w:w="2263" w:type="dxa"/>
            <w:tcBorders>
              <w:tl2br w:val="nil"/>
              <w:tr2bl w:val="nil"/>
            </w:tcBorders>
            <w:shd w:val="clear" w:color="auto" w:fill="FFFFFF"/>
            <w:tcMar>
              <w:top w:w="15" w:type="dxa"/>
              <w:left w:w="15" w:type="dxa"/>
              <w:right w:w="15" w:type="dxa"/>
            </w:tcMar>
            <w:vAlign w:val="center"/>
          </w:tcPr>
          <w:p w14:paraId="2964C63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C9033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86FC0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5F4B9F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5407" w:type="dxa"/>
            <w:tcBorders>
              <w:tl2br w:val="nil"/>
              <w:tr2bl w:val="nil"/>
            </w:tcBorders>
            <w:shd w:val="clear" w:color="auto" w:fill="FFFFFF"/>
            <w:tcMar>
              <w:top w:w="15" w:type="dxa"/>
              <w:left w:w="15" w:type="dxa"/>
              <w:right w:w="15" w:type="dxa"/>
            </w:tcMar>
            <w:vAlign w:val="center"/>
          </w:tcPr>
          <w:p w14:paraId="73569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一项评估SKB264对比研究者选择的化疗一线治疗不可切除的复发或转移性三阴性乳腺癌患者的随机、开放性、多中心III期研究</w:t>
            </w:r>
          </w:p>
        </w:tc>
        <w:tc>
          <w:tcPr>
            <w:tcW w:w="1725" w:type="dxa"/>
            <w:tcBorders>
              <w:tl2br w:val="nil"/>
              <w:tr2bl w:val="nil"/>
            </w:tcBorders>
            <w:shd w:val="clear" w:color="auto" w:fill="FFFFFF"/>
            <w:tcMar>
              <w:top w:w="15" w:type="dxa"/>
              <w:left w:w="15" w:type="dxa"/>
              <w:right w:w="15" w:type="dxa"/>
            </w:tcMar>
            <w:vAlign w:val="center"/>
          </w:tcPr>
          <w:p w14:paraId="63D80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复发或转移性三阴性乳腺癌</w:t>
            </w:r>
          </w:p>
        </w:tc>
        <w:tc>
          <w:tcPr>
            <w:tcW w:w="1425" w:type="dxa"/>
            <w:tcBorders>
              <w:tl2br w:val="nil"/>
              <w:tr2bl w:val="nil"/>
            </w:tcBorders>
            <w:shd w:val="clear" w:color="auto" w:fill="FFFFFF"/>
            <w:tcMar>
              <w:top w:w="15" w:type="dxa"/>
              <w:left w:w="15" w:type="dxa"/>
              <w:right w:w="15" w:type="dxa"/>
            </w:tcMar>
            <w:vAlign w:val="center"/>
          </w:tcPr>
          <w:p w14:paraId="2F6ABA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139A8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聂建云</w:t>
            </w:r>
          </w:p>
        </w:tc>
        <w:tc>
          <w:tcPr>
            <w:tcW w:w="2263" w:type="dxa"/>
            <w:tcBorders>
              <w:tl2br w:val="nil"/>
              <w:tr2bl w:val="nil"/>
            </w:tcBorders>
            <w:shd w:val="clear" w:color="auto" w:fill="FFFFFF"/>
            <w:tcMar>
              <w:top w:w="15" w:type="dxa"/>
              <w:left w:w="15" w:type="dxa"/>
              <w:right w:w="15" w:type="dxa"/>
            </w:tcMar>
            <w:vAlign w:val="center"/>
          </w:tcPr>
          <w:p w14:paraId="4B210F4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E91F5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370EC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16C09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5407" w:type="dxa"/>
            <w:tcBorders>
              <w:tl2br w:val="nil"/>
              <w:tr2bl w:val="nil"/>
            </w:tcBorders>
            <w:shd w:val="clear" w:color="auto" w:fill="FFFFFF"/>
            <w:tcMar>
              <w:top w:w="15" w:type="dxa"/>
              <w:left w:w="15" w:type="dxa"/>
              <w:right w:w="15" w:type="dxa"/>
            </w:tcMar>
            <w:vAlign w:val="center"/>
          </w:tcPr>
          <w:p w14:paraId="7AE28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注射用HS-20089联合治疗在晚期实体瘤受试者中安全性、耐受性、药代动力学和有效性的I期临床研究</w:t>
            </w:r>
          </w:p>
        </w:tc>
        <w:tc>
          <w:tcPr>
            <w:tcW w:w="1725" w:type="dxa"/>
            <w:tcBorders>
              <w:tl2br w:val="nil"/>
              <w:tr2bl w:val="nil"/>
            </w:tcBorders>
            <w:shd w:val="clear" w:color="auto" w:fill="FFFFFF"/>
            <w:tcMar>
              <w:top w:w="15" w:type="dxa"/>
              <w:left w:w="15" w:type="dxa"/>
              <w:right w:w="15" w:type="dxa"/>
            </w:tcMar>
            <w:vAlign w:val="center"/>
          </w:tcPr>
          <w:p w14:paraId="15F26A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晚期卵巢癌、子宫内膜癌三阴性乳腺癌及胆道癌等晚期实体瘤</w:t>
            </w:r>
          </w:p>
        </w:tc>
        <w:tc>
          <w:tcPr>
            <w:tcW w:w="1425" w:type="dxa"/>
            <w:tcBorders>
              <w:tl2br w:val="nil"/>
              <w:tr2bl w:val="nil"/>
            </w:tcBorders>
            <w:shd w:val="clear" w:color="auto" w:fill="FFFFFF"/>
            <w:tcMar>
              <w:top w:w="15" w:type="dxa"/>
              <w:left w:w="15" w:type="dxa"/>
              <w:right w:w="15" w:type="dxa"/>
            </w:tcMar>
            <w:vAlign w:val="center"/>
          </w:tcPr>
          <w:p w14:paraId="235C9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6C63ABE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杨宏英</w:t>
            </w:r>
          </w:p>
        </w:tc>
        <w:tc>
          <w:tcPr>
            <w:tcW w:w="2263" w:type="dxa"/>
            <w:tcBorders>
              <w:tl2br w:val="nil"/>
              <w:tr2bl w:val="nil"/>
            </w:tcBorders>
            <w:shd w:val="clear" w:color="auto" w:fill="FFFFFF"/>
            <w:tcMar>
              <w:top w:w="15" w:type="dxa"/>
              <w:left w:w="15" w:type="dxa"/>
              <w:right w:w="15" w:type="dxa"/>
            </w:tcMar>
            <w:vAlign w:val="center"/>
          </w:tcPr>
          <w:p w14:paraId="6B7D9D0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43D9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0CCCB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7D5A4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5407" w:type="dxa"/>
            <w:tcBorders>
              <w:tl2br w:val="nil"/>
              <w:tr2bl w:val="nil"/>
            </w:tcBorders>
            <w:shd w:val="clear" w:color="auto" w:fill="FFFFFF"/>
            <w:tcMar>
              <w:top w:w="15" w:type="dxa"/>
              <w:left w:w="15" w:type="dxa"/>
              <w:right w:w="15" w:type="dxa"/>
            </w:tcMar>
            <w:vAlign w:val="center"/>
          </w:tcPr>
          <w:p w14:paraId="502EAB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一项评估CT-3505胶囊对比克唑替尼胶囊在ALK阳性非小细胞肺癌患者中的有效性和安全性的随机、对照、多中心III期临床试验</w:t>
            </w:r>
          </w:p>
        </w:tc>
        <w:tc>
          <w:tcPr>
            <w:tcW w:w="1725" w:type="dxa"/>
            <w:tcBorders>
              <w:tl2br w:val="nil"/>
              <w:tr2bl w:val="nil"/>
            </w:tcBorders>
            <w:shd w:val="clear" w:color="auto" w:fill="FFFFFF"/>
            <w:tcMar>
              <w:top w:w="15" w:type="dxa"/>
              <w:left w:w="15" w:type="dxa"/>
              <w:right w:w="15" w:type="dxa"/>
            </w:tcMar>
            <w:vAlign w:val="center"/>
          </w:tcPr>
          <w:p w14:paraId="0A279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ALK阳性非小细胞肺癌</w:t>
            </w:r>
          </w:p>
        </w:tc>
        <w:tc>
          <w:tcPr>
            <w:tcW w:w="1425" w:type="dxa"/>
            <w:tcBorders>
              <w:tl2br w:val="nil"/>
              <w:tr2bl w:val="nil"/>
            </w:tcBorders>
            <w:shd w:val="clear" w:color="auto" w:fill="FFFFFF"/>
            <w:tcMar>
              <w:top w:w="15" w:type="dxa"/>
              <w:left w:w="15" w:type="dxa"/>
              <w:right w:w="15" w:type="dxa"/>
            </w:tcMar>
            <w:vAlign w:val="center"/>
          </w:tcPr>
          <w:p w14:paraId="1D9FA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01D43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705E650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ADDE0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640DA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561" w:type="dxa"/>
            <w:tcBorders>
              <w:tl2br w:val="nil"/>
              <w:tr2bl w:val="nil"/>
            </w:tcBorders>
            <w:shd w:val="clear" w:color="auto" w:fill="FFFFFF"/>
            <w:noWrap/>
            <w:tcMar>
              <w:top w:w="15" w:type="dxa"/>
              <w:left w:w="15" w:type="dxa"/>
              <w:right w:w="15" w:type="dxa"/>
            </w:tcMar>
            <w:vAlign w:val="center"/>
          </w:tcPr>
          <w:p w14:paraId="3B41A57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5407" w:type="dxa"/>
            <w:tcBorders>
              <w:tl2br w:val="nil"/>
              <w:tr2bl w:val="nil"/>
            </w:tcBorders>
            <w:shd w:val="clear" w:color="auto" w:fill="FFFFFF"/>
            <w:tcMar>
              <w:top w:w="15" w:type="dxa"/>
              <w:left w:w="15" w:type="dxa"/>
              <w:right w:w="15" w:type="dxa"/>
            </w:tcMar>
            <w:vAlign w:val="center"/>
          </w:tcPr>
          <w:p w14:paraId="5600E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评估KC1036对比研究者选择的化疗治疗晚期复发或转移性食管鳞癌受试者的随机、对照、开放、多中心III期临床研究</w:t>
            </w:r>
          </w:p>
        </w:tc>
        <w:tc>
          <w:tcPr>
            <w:tcW w:w="1725" w:type="dxa"/>
            <w:tcBorders>
              <w:tl2br w:val="nil"/>
              <w:tr2bl w:val="nil"/>
            </w:tcBorders>
            <w:shd w:val="clear" w:color="auto" w:fill="FFFFFF"/>
            <w:tcMar>
              <w:top w:w="15" w:type="dxa"/>
              <w:left w:w="15" w:type="dxa"/>
              <w:right w:w="15" w:type="dxa"/>
            </w:tcMar>
            <w:vAlign w:val="center"/>
          </w:tcPr>
          <w:p w14:paraId="0C69C7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晚期复发或转移性食管鳞癌</w:t>
            </w:r>
          </w:p>
        </w:tc>
        <w:tc>
          <w:tcPr>
            <w:tcW w:w="1425" w:type="dxa"/>
            <w:tcBorders>
              <w:tl2br w:val="nil"/>
              <w:tr2bl w:val="nil"/>
            </w:tcBorders>
            <w:shd w:val="clear" w:color="auto" w:fill="FFFFFF"/>
            <w:tcMar>
              <w:top w:w="15" w:type="dxa"/>
              <w:left w:w="15" w:type="dxa"/>
              <w:right w:w="15" w:type="dxa"/>
            </w:tcMar>
            <w:vAlign w:val="center"/>
          </w:tcPr>
          <w:p w14:paraId="4F62B73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1D8C8D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谢琳</w:t>
            </w:r>
          </w:p>
        </w:tc>
        <w:tc>
          <w:tcPr>
            <w:tcW w:w="2263" w:type="dxa"/>
            <w:tcBorders>
              <w:tl2br w:val="nil"/>
              <w:tr2bl w:val="nil"/>
            </w:tcBorders>
            <w:shd w:val="clear" w:color="auto" w:fill="FFFFFF"/>
            <w:tcMar>
              <w:top w:w="15" w:type="dxa"/>
              <w:left w:w="15" w:type="dxa"/>
              <w:right w:w="15" w:type="dxa"/>
            </w:tcMar>
            <w:vAlign w:val="center"/>
          </w:tcPr>
          <w:p w14:paraId="79E16C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76FFB5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BE5BF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1DF56FB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5407" w:type="dxa"/>
            <w:tcBorders>
              <w:tl2br w:val="nil"/>
              <w:tr2bl w:val="nil"/>
            </w:tcBorders>
            <w:shd w:val="clear" w:color="auto" w:fill="FFFFFF"/>
            <w:tcMar>
              <w:top w:w="15" w:type="dxa"/>
              <w:left w:w="15" w:type="dxa"/>
              <w:right w:w="15" w:type="dxa"/>
            </w:tcMar>
            <w:vAlign w:val="center"/>
          </w:tcPr>
          <w:p w14:paraId="596D3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信迪利单抗联合化疗或安慰剂联合化疗用于可手术切除非小细胞肺癌新辅助和辅助治疗的有效性和安全性的随机、双盲、III 期临床研究（ORIENT-99）</w:t>
            </w:r>
          </w:p>
        </w:tc>
        <w:tc>
          <w:tcPr>
            <w:tcW w:w="1725" w:type="dxa"/>
            <w:tcBorders>
              <w:tl2br w:val="nil"/>
              <w:tr2bl w:val="nil"/>
            </w:tcBorders>
            <w:shd w:val="clear" w:color="auto" w:fill="FFFFFF"/>
            <w:tcMar>
              <w:top w:w="15" w:type="dxa"/>
              <w:left w:w="15" w:type="dxa"/>
              <w:right w:w="15" w:type="dxa"/>
            </w:tcMar>
            <w:vAlign w:val="center"/>
          </w:tcPr>
          <w:p w14:paraId="6B824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7326D0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046300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李高峰</w:t>
            </w:r>
          </w:p>
        </w:tc>
        <w:tc>
          <w:tcPr>
            <w:tcW w:w="2263" w:type="dxa"/>
            <w:tcBorders>
              <w:tl2br w:val="nil"/>
              <w:tr2bl w:val="nil"/>
            </w:tcBorders>
            <w:shd w:val="clear" w:color="auto" w:fill="FFFFFF"/>
            <w:tcMar>
              <w:top w:w="15" w:type="dxa"/>
              <w:left w:w="15" w:type="dxa"/>
              <w:right w:w="15" w:type="dxa"/>
            </w:tcMar>
            <w:vAlign w:val="center"/>
          </w:tcPr>
          <w:p w14:paraId="136208C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834F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4C0AD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561" w:type="dxa"/>
            <w:tcBorders>
              <w:tl2br w:val="nil"/>
              <w:tr2bl w:val="nil"/>
            </w:tcBorders>
            <w:shd w:val="clear" w:color="auto" w:fill="FFFFFF"/>
            <w:noWrap/>
            <w:tcMar>
              <w:top w:w="15" w:type="dxa"/>
              <w:left w:w="15" w:type="dxa"/>
              <w:right w:w="15" w:type="dxa"/>
            </w:tcMar>
            <w:vAlign w:val="center"/>
          </w:tcPr>
          <w:p w14:paraId="11D90A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5407" w:type="dxa"/>
            <w:tcBorders>
              <w:tl2br w:val="nil"/>
              <w:tr2bl w:val="nil"/>
            </w:tcBorders>
            <w:shd w:val="clear" w:color="auto" w:fill="FFFFFF"/>
            <w:tcMar>
              <w:top w:w="15" w:type="dxa"/>
              <w:left w:w="15" w:type="dxa"/>
              <w:right w:w="15" w:type="dxa"/>
            </w:tcMar>
            <w:vAlign w:val="center"/>
          </w:tcPr>
          <w:p w14:paraId="5B563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一项评估伏美替尼对比含铂化疗一线治疗表皮生长因子受体20外显子插入突变的局部晚期或转移性非小细胞肺癌患者的疗效和安全性的国际、III期、随机、多中心、开放标签研究</w:t>
            </w:r>
          </w:p>
        </w:tc>
        <w:tc>
          <w:tcPr>
            <w:tcW w:w="1725" w:type="dxa"/>
            <w:tcBorders>
              <w:tl2br w:val="nil"/>
              <w:tr2bl w:val="nil"/>
            </w:tcBorders>
            <w:shd w:val="clear" w:color="auto" w:fill="FFFFFF"/>
            <w:tcMar>
              <w:top w:w="15" w:type="dxa"/>
              <w:left w:w="15" w:type="dxa"/>
              <w:right w:w="15" w:type="dxa"/>
            </w:tcMar>
            <w:vAlign w:val="center"/>
          </w:tcPr>
          <w:p w14:paraId="22AE40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既往未接受过治疗的EGFR20外显子插入突变的（NSCLC）</w:t>
            </w:r>
          </w:p>
        </w:tc>
        <w:tc>
          <w:tcPr>
            <w:tcW w:w="1425" w:type="dxa"/>
            <w:tcBorders>
              <w:tl2br w:val="nil"/>
              <w:tr2bl w:val="nil"/>
            </w:tcBorders>
            <w:shd w:val="clear" w:color="auto" w:fill="FFFFFF"/>
            <w:tcMar>
              <w:top w:w="15" w:type="dxa"/>
              <w:left w:w="15" w:type="dxa"/>
              <w:right w:w="15" w:type="dxa"/>
            </w:tcMar>
            <w:vAlign w:val="center"/>
          </w:tcPr>
          <w:p w14:paraId="72DCA0A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01A24C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773F63D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821BB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67E3D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30A16AC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5407" w:type="dxa"/>
            <w:tcBorders>
              <w:tl2br w:val="nil"/>
              <w:tr2bl w:val="nil"/>
            </w:tcBorders>
            <w:shd w:val="clear" w:color="auto" w:fill="FFFFFF"/>
            <w:tcMar>
              <w:top w:w="15" w:type="dxa"/>
              <w:left w:w="15" w:type="dxa"/>
              <w:right w:w="15" w:type="dxa"/>
            </w:tcMar>
            <w:vAlign w:val="center"/>
          </w:tcPr>
          <w:p w14:paraId="4D2C10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一项比较TGRX-326与克唑替尼在治疗ALK阳性晚期或转移性非小细胞肺癌（NSCLC）患者中的有效性和安全性的多中心、随机对照、开放的III期研究</w:t>
            </w:r>
          </w:p>
        </w:tc>
        <w:tc>
          <w:tcPr>
            <w:tcW w:w="1725" w:type="dxa"/>
            <w:tcBorders>
              <w:tl2br w:val="nil"/>
              <w:tr2bl w:val="nil"/>
            </w:tcBorders>
            <w:shd w:val="clear" w:color="auto" w:fill="FFFFFF"/>
            <w:tcMar>
              <w:top w:w="15" w:type="dxa"/>
              <w:left w:w="15" w:type="dxa"/>
              <w:right w:w="15" w:type="dxa"/>
            </w:tcMar>
            <w:vAlign w:val="center"/>
          </w:tcPr>
          <w:p w14:paraId="233DF4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间变性淋巴瘤（ALK）阳性晚期或转移性非小细胞肺癌患者</w:t>
            </w:r>
          </w:p>
        </w:tc>
        <w:tc>
          <w:tcPr>
            <w:tcW w:w="1425" w:type="dxa"/>
            <w:tcBorders>
              <w:tl2br w:val="nil"/>
              <w:tr2bl w:val="nil"/>
            </w:tcBorders>
            <w:shd w:val="clear" w:color="auto" w:fill="FFFFFF"/>
            <w:tcMar>
              <w:top w:w="15" w:type="dxa"/>
              <w:left w:w="15" w:type="dxa"/>
              <w:right w:w="15" w:type="dxa"/>
            </w:tcMar>
            <w:vAlign w:val="center"/>
          </w:tcPr>
          <w:p w14:paraId="78A777B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3FDC9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06ECA08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6B07B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918C6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2D6602C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5407" w:type="dxa"/>
            <w:tcBorders>
              <w:tl2br w:val="nil"/>
              <w:tr2bl w:val="nil"/>
            </w:tcBorders>
            <w:shd w:val="clear" w:color="auto" w:fill="FFFFFF"/>
            <w:tcMar>
              <w:top w:w="15" w:type="dxa"/>
              <w:left w:w="15" w:type="dxa"/>
              <w:right w:w="15" w:type="dxa"/>
            </w:tcMar>
            <w:vAlign w:val="center"/>
          </w:tcPr>
          <w:p w14:paraId="6F7480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评估IBI130治疗局部晚期不可切除或转移性实体瘤受试者的I/II期、多中心、开发性研究</w:t>
            </w:r>
          </w:p>
        </w:tc>
        <w:tc>
          <w:tcPr>
            <w:tcW w:w="1725" w:type="dxa"/>
            <w:tcBorders>
              <w:tl2br w:val="nil"/>
              <w:tr2bl w:val="nil"/>
            </w:tcBorders>
            <w:shd w:val="clear" w:color="auto" w:fill="FFFFFF"/>
            <w:tcMar>
              <w:top w:w="15" w:type="dxa"/>
              <w:left w:w="15" w:type="dxa"/>
              <w:right w:w="15" w:type="dxa"/>
            </w:tcMar>
            <w:vAlign w:val="center"/>
          </w:tcPr>
          <w:p w14:paraId="58DBB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主要包括但不限于三阴性乳腺癌、尿路上皮癌、非小细胞肺癌、鼻咽癌、宫颈癌</w:t>
            </w:r>
          </w:p>
        </w:tc>
        <w:tc>
          <w:tcPr>
            <w:tcW w:w="1425" w:type="dxa"/>
            <w:tcBorders>
              <w:tl2br w:val="nil"/>
              <w:tr2bl w:val="nil"/>
            </w:tcBorders>
            <w:shd w:val="clear" w:color="auto" w:fill="FFFFFF"/>
            <w:tcMar>
              <w:top w:w="15" w:type="dxa"/>
              <w:left w:w="15" w:type="dxa"/>
              <w:right w:w="15" w:type="dxa"/>
            </w:tcMar>
            <w:vAlign w:val="center"/>
          </w:tcPr>
          <w:p w14:paraId="2BB25C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569C59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聂建云</w:t>
            </w:r>
          </w:p>
        </w:tc>
        <w:tc>
          <w:tcPr>
            <w:tcW w:w="2263" w:type="dxa"/>
            <w:tcBorders>
              <w:tl2br w:val="nil"/>
              <w:tr2bl w:val="nil"/>
            </w:tcBorders>
            <w:shd w:val="clear" w:color="auto" w:fill="FFFFFF"/>
            <w:tcMar>
              <w:top w:w="15" w:type="dxa"/>
              <w:left w:w="15" w:type="dxa"/>
              <w:right w:w="15" w:type="dxa"/>
            </w:tcMar>
            <w:vAlign w:val="center"/>
          </w:tcPr>
          <w:p w14:paraId="040AAD1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8EDF1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E629B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C42B6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5407" w:type="dxa"/>
            <w:tcBorders>
              <w:tl2br w:val="nil"/>
              <w:tr2bl w:val="nil"/>
            </w:tcBorders>
            <w:shd w:val="clear" w:color="auto" w:fill="FFFFFF"/>
            <w:tcMar>
              <w:top w:w="15" w:type="dxa"/>
              <w:left w:w="15" w:type="dxa"/>
              <w:right w:w="15" w:type="dxa"/>
            </w:tcMar>
            <w:vAlign w:val="center"/>
          </w:tcPr>
          <w:p w14:paraId="2EA8D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评价LBL-024在晚期恶性肿瘤患者中的安全性、耐受性、药物代谢动力学特征及初步有效性的I/II期临床研究</w:t>
            </w:r>
          </w:p>
        </w:tc>
        <w:tc>
          <w:tcPr>
            <w:tcW w:w="1725" w:type="dxa"/>
            <w:tcBorders>
              <w:tl2br w:val="nil"/>
              <w:tr2bl w:val="nil"/>
            </w:tcBorders>
            <w:shd w:val="clear" w:color="auto" w:fill="FFFFFF"/>
            <w:tcMar>
              <w:top w:w="15" w:type="dxa"/>
              <w:left w:w="15" w:type="dxa"/>
              <w:right w:w="15" w:type="dxa"/>
            </w:tcMar>
            <w:vAlign w:val="center"/>
          </w:tcPr>
          <w:p w14:paraId="1095B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肺外神经内分泌癌</w:t>
            </w:r>
          </w:p>
        </w:tc>
        <w:tc>
          <w:tcPr>
            <w:tcW w:w="1425" w:type="dxa"/>
            <w:tcBorders>
              <w:tl2br w:val="nil"/>
              <w:tr2bl w:val="nil"/>
            </w:tcBorders>
            <w:shd w:val="clear" w:color="auto" w:fill="FFFFFF"/>
            <w:tcMar>
              <w:top w:w="15" w:type="dxa"/>
              <w:left w:w="15" w:type="dxa"/>
              <w:right w:w="15" w:type="dxa"/>
            </w:tcMar>
            <w:vAlign w:val="center"/>
          </w:tcPr>
          <w:p w14:paraId="2D04C6C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消化内科                                </w:t>
            </w:r>
          </w:p>
        </w:tc>
        <w:tc>
          <w:tcPr>
            <w:tcW w:w="1780" w:type="dxa"/>
            <w:tcBorders>
              <w:tl2br w:val="nil"/>
              <w:tr2bl w:val="nil"/>
            </w:tcBorders>
            <w:shd w:val="clear" w:color="auto" w:fill="FFFFFF"/>
            <w:tcMar>
              <w:top w:w="15" w:type="dxa"/>
              <w:left w:w="15" w:type="dxa"/>
              <w:right w:w="15" w:type="dxa"/>
            </w:tcMar>
            <w:vAlign w:val="center"/>
          </w:tcPr>
          <w:p w14:paraId="0F5DF6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谢琳</w:t>
            </w:r>
          </w:p>
        </w:tc>
        <w:tc>
          <w:tcPr>
            <w:tcW w:w="2263" w:type="dxa"/>
            <w:tcBorders>
              <w:tl2br w:val="nil"/>
              <w:tr2bl w:val="nil"/>
            </w:tcBorders>
            <w:shd w:val="clear" w:color="auto" w:fill="FFFFFF"/>
            <w:tcMar>
              <w:top w:w="15" w:type="dxa"/>
              <w:left w:w="15" w:type="dxa"/>
              <w:right w:w="15" w:type="dxa"/>
            </w:tcMar>
            <w:vAlign w:val="center"/>
          </w:tcPr>
          <w:p w14:paraId="59A9A7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5273F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867C3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36D0D02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5407" w:type="dxa"/>
            <w:tcBorders>
              <w:tl2br w:val="nil"/>
              <w:tr2bl w:val="nil"/>
            </w:tcBorders>
            <w:shd w:val="clear" w:color="auto" w:fill="FFFFFF"/>
            <w:tcMar>
              <w:top w:w="15" w:type="dxa"/>
              <w:left w:w="15" w:type="dxa"/>
              <w:right w:w="15" w:type="dxa"/>
            </w:tcMar>
            <w:vAlign w:val="center"/>
          </w:tcPr>
          <w:p w14:paraId="39714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评价注射用BL-M07D1在局部晚期或转移性HER2阳性/低表达泌尿系统和消化道系统肿瘤等多种实体瘤患者中的安全性和有效性的Ib/II期临床研究</w:t>
            </w:r>
          </w:p>
        </w:tc>
        <w:tc>
          <w:tcPr>
            <w:tcW w:w="1725" w:type="dxa"/>
            <w:tcBorders>
              <w:tl2br w:val="nil"/>
              <w:tr2bl w:val="nil"/>
            </w:tcBorders>
            <w:shd w:val="clear" w:color="auto" w:fill="FFFFFF"/>
            <w:noWrap/>
            <w:tcMar>
              <w:top w:w="15" w:type="dxa"/>
              <w:left w:w="15" w:type="dxa"/>
              <w:right w:w="15" w:type="dxa"/>
            </w:tcMar>
            <w:vAlign w:val="center"/>
          </w:tcPr>
          <w:p w14:paraId="0A408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局部晚期或转移性 HER2 阳性/低表达泌尿和消化道系统肿瘤等多种实体瘤患者</w:t>
            </w:r>
          </w:p>
        </w:tc>
        <w:tc>
          <w:tcPr>
            <w:tcW w:w="1425" w:type="dxa"/>
            <w:tcBorders>
              <w:tl2br w:val="nil"/>
              <w:tr2bl w:val="nil"/>
            </w:tcBorders>
            <w:shd w:val="clear" w:color="auto" w:fill="FFFFFF"/>
            <w:noWrap/>
            <w:tcMar>
              <w:top w:w="15" w:type="dxa"/>
              <w:left w:w="15" w:type="dxa"/>
              <w:right w:w="15" w:type="dxa"/>
            </w:tcMar>
            <w:vAlign w:val="center"/>
          </w:tcPr>
          <w:p w14:paraId="466C46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0D73B7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谢琳</w:t>
            </w:r>
          </w:p>
        </w:tc>
        <w:tc>
          <w:tcPr>
            <w:tcW w:w="2263" w:type="dxa"/>
            <w:tcBorders>
              <w:tl2br w:val="nil"/>
              <w:tr2bl w:val="nil"/>
            </w:tcBorders>
            <w:shd w:val="clear" w:color="auto" w:fill="FFFFFF"/>
            <w:tcMar>
              <w:top w:w="15" w:type="dxa"/>
              <w:left w:w="15" w:type="dxa"/>
              <w:right w:w="15" w:type="dxa"/>
            </w:tcMar>
            <w:vAlign w:val="center"/>
          </w:tcPr>
          <w:p w14:paraId="3724A51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7E9F1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4D88E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2D7E4F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5407" w:type="dxa"/>
            <w:tcBorders>
              <w:tl2br w:val="nil"/>
              <w:tr2bl w:val="nil"/>
            </w:tcBorders>
            <w:shd w:val="clear" w:color="auto" w:fill="FFFFFF"/>
            <w:tcMar>
              <w:top w:w="15" w:type="dxa"/>
              <w:left w:w="15" w:type="dxa"/>
              <w:right w:w="15" w:type="dxa"/>
            </w:tcMar>
            <w:vAlign w:val="center"/>
          </w:tcPr>
          <w:p w14:paraId="29468C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一项评价亮丙瑞林注射乳治疗绝经前乳腺癌的有效性、安全性和药代动力学的多中心、随机、开放III期临床研究</w:t>
            </w:r>
          </w:p>
        </w:tc>
        <w:tc>
          <w:tcPr>
            <w:tcW w:w="1725" w:type="dxa"/>
            <w:tcBorders>
              <w:tl2br w:val="nil"/>
              <w:tr2bl w:val="nil"/>
            </w:tcBorders>
            <w:shd w:val="clear" w:color="auto" w:fill="FFFFFF"/>
            <w:noWrap/>
            <w:tcMar>
              <w:top w:w="15" w:type="dxa"/>
              <w:left w:w="15" w:type="dxa"/>
              <w:right w:w="15" w:type="dxa"/>
            </w:tcMar>
            <w:vAlign w:val="center"/>
          </w:tcPr>
          <w:p w14:paraId="1CBCE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绝经前ER阳性和/或PgR阳性，HER2阴性的原发性乳腺癌</w:t>
            </w:r>
          </w:p>
        </w:tc>
        <w:tc>
          <w:tcPr>
            <w:tcW w:w="1425" w:type="dxa"/>
            <w:tcBorders>
              <w:tl2br w:val="nil"/>
              <w:tr2bl w:val="nil"/>
            </w:tcBorders>
            <w:shd w:val="clear" w:color="auto" w:fill="FFFFFF"/>
            <w:noWrap/>
            <w:tcMar>
              <w:top w:w="15" w:type="dxa"/>
              <w:left w:w="15" w:type="dxa"/>
              <w:right w:w="15" w:type="dxa"/>
            </w:tcMar>
            <w:vAlign w:val="center"/>
          </w:tcPr>
          <w:p w14:paraId="01A60D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乳腺外二科</w:t>
            </w:r>
          </w:p>
        </w:tc>
        <w:tc>
          <w:tcPr>
            <w:tcW w:w="1780" w:type="dxa"/>
            <w:tcBorders>
              <w:tl2br w:val="nil"/>
              <w:tr2bl w:val="nil"/>
            </w:tcBorders>
            <w:shd w:val="clear" w:color="auto" w:fill="FFFFFF"/>
            <w:tcMar>
              <w:top w:w="15" w:type="dxa"/>
              <w:left w:w="15" w:type="dxa"/>
              <w:right w:w="15" w:type="dxa"/>
            </w:tcMar>
            <w:vAlign w:val="center"/>
          </w:tcPr>
          <w:p w14:paraId="47B34A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唐一吟</w:t>
            </w:r>
          </w:p>
        </w:tc>
        <w:tc>
          <w:tcPr>
            <w:tcW w:w="2263" w:type="dxa"/>
            <w:tcBorders>
              <w:tl2br w:val="nil"/>
              <w:tr2bl w:val="nil"/>
            </w:tcBorders>
            <w:shd w:val="clear" w:color="auto" w:fill="FFFFFF"/>
            <w:tcMar>
              <w:top w:w="15" w:type="dxa"/>
              <w:left w:w="15" w:type="dxa"/>
              <w:right w:w="15" w:type="dxa"/>
            </w:tcMar>
            <w:vAlign w:val="center"/>
          </w:tcPr>
          <w:p w14:paraId="0503273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80C88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25273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3571F3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5407" w:type="dxa"/>
            <w:tcBorders>
              <w:tl2br w:val="nil"/>
              <w:tr2bl w:val="nil"/>
            </w:tcBorders>
            <w:shd w:val="clear" w:color="auto" w:fill="FFFFFF"/>
            <w:tcMar>
              <w:top w:w="15" w:type="dxa"/>
              <w:left w:w="15" w:type="dxa"/>
              <w:right w:w="15" w:type="dxa"/>
            </w:tcMar>
            <w:vAlign w:val="center"/>
          </w:tcPr>
          <w:p w14:paraId="617F0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一项评估AK109和AK104联合紫杉醇对比安慰剂联合紫杉醇用于治疗经PD-(L)1抑制剂联合化疗一线治疗失败的晚期胃腺癌或胃食管结合部腺癌的有效性和安全性的随机、双盲III期临床研究</w:t>
            </w:r>
          </w:p>
        </w:tc>
        <w:tc>
          <w:tcPr>
            <w:tcW w:w="1725" w:type="dxa"/>
            <w:tcBorders>
              <w:tl2br w:val="nil"/>
              <w:tr2bl w:val="nil"/>
            </w:tcBorders>
            <w:shd w:val="clear" w:color="auto" w:fill="FFFFFF"/>
            <w:tcMar>
              <w:top w:w="15" w:type="dxa"/>
              <w:left w:w="15" w:type="dxa"/>
              <w:right w:w="15" w:type="dxa"/>
            </w:tcMar>
            <w:vAlign w:val="center"/>
          </w:tcPr>
          <w:p w14:paraId="0368F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晚期胃腺癌或胃食管结合部腺癌</w:t>
            </w:r>
          </w:p>
        </w:tc>
        <w:tc>
          <w:tcPr>
            <w:tcW w:w="1425" w:type="dxa"/>
            <w:tcBorders>
              <w:tl2br w:val="nil"/>
              <w:tr2bl w:val="nil"/>
            </w:tcBorders>
            <w:shd w:val="clear" w:color="auto" w:fill="FFFFFF"/>
            <w:tcMar>
              <w:top w:w="15" w:type="dxa"/>
              <w:left w:w="15" w:type="dxa"/>
              <w:right w:w="15" w:type="dxa"/>
            </w:tcMar>
            <w:vAlign w:val="center"/>
          </w:tcPr>
          <w:p w14:paraId="28F0C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6F08CF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谢琳</w:t>
            </w:r>
          </w:p>
        </w:tc>
        <w:tc>
          <w:tcPr>
            <w:tcW w:w="2263" w:type="dxa"/>
            <w:tcBorders>
              <w:tl2br w:val="nil"/>
              <w:tr2bl w:val="nil"/>
            </w:tcBorders>
            <w:shd w:val="clear" w:color="auto" w:fill="FFFFFF"/>
            <w:tcMar>
              <w:top w:w="15" w:type="dxa"/>
              <w:left w:w="15" w:type="dxa"/>
              <w:right w:w="15" w:type="dxa"/>
            </w:tcMar>
            <w:vAlign w:val="center"/>
          </w:tcPr>
          <w:p w14:paraId="73252F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7ECCA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D0CA4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24B4E2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5407" w:type="dxa"/>
            <w:tcBorders>
              <w:tl2br w:val="nil"/>
              <w:tr2bl w:val="nil"/>
            </w:tcBorders>
            <w:shd w:val="clear" w:color="auto" w:fill="FFFFFF"/>
            <w:tcMar>
              <w:top w:w="15" w:type="dxa"/>
              <w:left w:w="15" w:type="dxa"/>
              <w:right w:w="15" w:type="dxa"/>
            </w:tcMar>
            <w:vAlign w:val="center"/>
          </w:tcPr>
          <w:p w14:paraId="2E620C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一项评价QLC1101 单药用于治疗携带KRAS G12D 突变晚期实体瘤患者的安全性、耐受性、药代动力学和初步有效性的I 期临床研究</w:t>
            </w:r>
          </w:p>
        </w:tc>
        <w:tc>
          <w:tcPr>
            <w:tcW w:w="1725" w:type="dxa"/>
            <w:tcBorders>
              <w:tl2br w:val="nil"/>
              <w:tr2bl w:val="nil"/>
            </w:tcBorders>
            <w:shd w:val="clear" w:color="auto" w:fill="FFFFFF"/>
            <w:tcMar>
              <w:top w:w="15" w:type="dxa"/>
              <w:left w:w="15" w:type="dxa"/>
              <w:right w:w="15" w:type="dxa"/>
            </w:tcMar>
            <w:vAlign w:val="center"/>
          </w:tcPr>
          <w:p w14:paraId="66E048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KRAS G12D 突变晚期实体瘤患者</w:t>
            </w:r>
          </w:p>
        </w:tc>
        <w:tc>
          <w:tcPr>
            <w:tcW w:w="1425" w:type="dxa"/>
            <w:tcBorders>
              <w:tl2br w:val="nil"/>
              <w:tr2bl w:val="nil"/>
            </w:tcBorders>
            <w:shd w:val="clear" w:color="auto" w:fill="FFFFFF"/>
            <w:tcMar>
              <w:top w:w="15" w:type="dxa"/>
              <w:left w:w="15" w:type="dxa"/>
              <w:right w:w="15" w:type="dxa"/>
            </w:tcMar>
            <w:vAlign w:val="center"/>
          </w:tcPr>
          <w:p w14:paraId="5C5B39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66F0EA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796762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8D4B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96371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0657CB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5407" w:type="dxa"/>
            <w:tcBorders>
              <w:tl2br w:val="nil"/>
              <w:tr2bl w:val="nil"/>
            </w:tcBorders>
            <w:shd w:val="clear" w:color="auto" w:fill="FFFFFF"/>
            <w:tcMar>
              <w:top w:w="15" w:type="dxa"/>
              <w:left w:w="15" w:type="dxa"/>
              <w:right w:w="15" w:type="dxa"/>
            </w:tcMar>
            <w:vAlign w:val="center"/>
          </w:tcPr>
          <w:p w14:paraId="32C7DB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一项评价注射用甲磺酸普依司他治疗复发或难治外周T细胞淋巴瘤和皮肤T细胞淋巴瘤患者的安全性、耐受性、药代动力学和初步有效性的开放标签、多中心IIa期临床研究</w:t>
            </w:r>
          </w:p>
        </w:tc>
        <w:tc>
          <w:tcPr>
            <w:tcW w:w="1725" w:type="dxa"/>
            <w:tcBorders>
              <w:tl2br w:val="nil"/>
              <w:tr2bl w:val="nil"/>
            </w:tcBorders>
            <w:shd w:val="clear" w:color="auto" w:fill="FFFFFF"/>
            <w:tcMar>
              <w:top w:w="15" w:type="dxa"/>
              <w:left w:w="15" w:type="dxa"/>
              <w:right w:w="15" w:type="dxa"/>
            </w:tcMar>
            <w:vAlign w:val="center"/>
          </w:tcPr>
          <w:p w14:paraId="066E4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复发或难治外周T细胞淋巴瘤和皮肤T细胞淋巴瘤</w:t>
            </w:r>
          </w:p>
        </w:tc>
        <w:tc>
          <w:tcPr>
            <w:tcW w:w="1425" w:type="dxa"/>
            <w:tcBorders>
              <w:tl2br w:val="nil"/>
              <w:tr2bl w:val="nil"/>
            </w:tcBorders>
            <w:shd w:val="clear" w:color="auto" w:fill="FFFFFF"/>
            <w:tcMar>
              <w:top w:w="15" w:type="dxa"/>
              <w:left w:w="15" w:type="dxa"/>
              <w:right w:w="15" w:type="dxa"/>
            </w:tcMar>
            <w:vAlign w:val="center"/>
          </w:tcPr>
          <w:p w14:paraId="16459C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血液科</w:t>
            </w:r>
          </w:p>
        </w:tc>
        <w:tc>
          <w:tcPr>
            <w:tcW w:w="1780" w:type="dxa"/>
            <w:tcBorders>
              <w:tl2br w:val="nil"/>
              <w:tr2bl w:val="nil"/>
            </w:tcBorders>
            <w:shd w:val="clear" w:color="auto" w:fill="FFFFFF"/>
            <w:tcMar>
              <w:top w:w="15" w:type="dxa"/>
              <w:left w:w="15" w:type="dxa"/>
              <w:right w:w="15" w:type="dxa"/>
            </w:tcMar>
            <w:vAlign w:val="center"/>
          </w:tcPr>
          <w:p w14:paraId="3F20A3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赖洵</w:t>
            </w:r>
          </w:p>
        </w:tc>
        <w:tc>
          <w:tcPr>
            <w:tcW w:w="2263" w:type="dxa"/>
            <w:tcBorders>
              <w:tl2br w:val="nil"/>
              <w:tr2bl w:val="nil"/>
            </w:tcBorders>
            <w:shd w:val="clear" w:color="auto" w:fill="FFFFFF"/>
            <w:tcMar>
              <w:top w:w="15" w:type="dxa"/>
              <w:left w:w="15" w:type="dxa"/>
              <w:right w:w="15" w:type="dxa"/>
            </w:tcMar>
            <w:vAlign w:val="center"/>
          </w:tcPr>
          <w:p w14:paraId="2E42390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09BE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4024F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61" w:type="dxa"/>
            <w:tcBorders>
              <w:tl2br w:val="nil"/>
              <w:tr2bl w:val="nil"/>
            </w:tcBorders>
            <w:shd w:val="clear" w:color="auto" w:fill="FFFFFF"/>
            <w:noWrap/>
            <w:tcMar>
              <w:top w:w="15" w:type="dxa"/>
              <w:left w:w="15" w:type="dxa"/>
              <w:right w:w="15" w:type="dxa"/>
            </w:tcMar>
            <w:vAlign w:val="center"/>
          </w:tcPr>
          <w:p w14:paraId="7666DD7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5407" w:type="dxa"/>
            <w:tcBorders>
              <w:tl2br w:val="nil"/>
              <w:tr2bl w:val="nil"/>
            </w:tcBorders>
            <w:shd w:val="clear" w:color="auto" w:fill="FFFFFF"/>
            <w:tcMar>
              <w:top w:w="15" w:type="dxa"/>
              <w:left w:w="15" w:type="dxa"/>
              <w:right w:w="15" w:type="dxa"/>
            </w:tcMar>
            <w:vAlign w:val="center"/>
          </w:tcPr>
          <w:p w14:paraId="6E52CB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一项评估</w:t>
            </w:r>
            <w:r>
              <w:rPr>
                <w:rStyle w:val="8"/>
                <w:rFonts w:eastAsia="宋体"/>
                <w:lang w:val="en-US" w:eastAsia="zh-CN" w:bidi="ar"/>
              </w:rPr>
              <w:t>YL202</w:t>
            </w:r>
            <w:r>
              <w:rPr>
                <w:rStyle w:val="7"/>
                <w:lang w:val="en-US" w:eastAsia="zh-CN" w:bidi="ar"/>
              </w:rPr>
              <w:t>在</w:t>
            </w:r>
            <w:r>
              <w:rPr>
                <w:rStyle w:val="8"/>
                <w:rFonts w:eastAsia="宋体"/>
                <w:lang w:val="en-US" w:eastAsia="zh-CN" w:bidi="ar"/>
              </w:rPr>
              <w:t>TNBC</w:t>
            </w:r>
            <w:r>
              <w:rPr>
                <w:rStyle w:val="7"/>
                <w:lang w:val="en-US" w:eastAsia="zh-CN" w:bidi="ar"/>
              </w:rPr>
              <w:t>和</w:t>
            </w:r>
            <w:r>
              <w:rPr>
                <w:rStyle w:val="8"/>
                <w:rFonts w:eastAsia="宋体"/>
                <w:lang w:val="en-US" w:eastAsia="zh-CN" w:bidi="ar"/>
              </w:rPr>
              <w:t>HR</w:t>
            </w:r>
            <w:r>
              <w:rPr>
                <w:rStyle w:val="7"/>
                <w:lang w:val="en-US" w:eastAsia="zh-CN" w:bidi="ar"/>
              </w:rPr>
              <w:t>阳性、</w:t>
            </w:r>
            <w:r>
              <w:rPr>
                <w:rStyle w:val="8"/>
                <w:rFonts w:eastAsia="宋体"/>
                <w:lang w:val="en-US" w:eastAsia="zh-CN" w:bidi="ar"/>
              </w:rPr>
              <w:t>HER2</w:t>
            </w:r>
            <w:r>
              <w:rPr>
                <w:rStyle w:val="7"/>
                <w:lang w:val="en-US" w:eastAsia="zh-CN" w:bidi="ar"/>
              </w:rPr>
              <w:t>零表达或</w:t>
            </w:r>
            <w:r>
              <w:rPr>
                <w:rStyle w:val="8"/>
                <w:rFonts w:eastAsia="宋体"/>
                <w:lang w:val="en-US" w:eastAsia="zh-CN" w:bidi="ar"/>
              </w:rPr>
              <w:t>HER2</w:t>
            </w:r>
            <w:r>
              <w:rPr>
                <w:rStyle w:val="7"/>
                <w:lang w:val="en-US" w:eastAsia="zh-CN" w:bidi="ar"/>
              </w:rPr>
              <w:t>低表达的局部晚期或转移性乳腺癌受试者中的有效性、安全性和药代动力学的多中心、开放标签、Ⅱ期研究</w:t>
            </w:r>
          </w:p>
        </w:tc>
        <w:tc>
          <w:tcPr>
            <w:tcW w:w="1725" w:type="dxa"/>
            <w:tcBorders>
              <w:tl2br w:val="nil"/>
              <w:tr2bl w:val="nil"/>
            </w:tcBorders>
            <w:shd w:val="clear" w:color="auto" w:fill="FFFFFF"/>
            <w:tcMar>
              <w:top w:w="15" w:type="dxa"/>
              <w:left w:w="15" w:type="dxa"/>
              <w:right w:w="15" w:type="dxa"/>
            </w:tcMar>
            <w:vAlign w:val="center"/>
          </w:tcPr>
          <w:p w14:paraId="2CFE4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14:paraId="2406AE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350A0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聂建云</w:t>
            </w:r>
          </w:p>
        </w:tc>
        <w:tc>
          <w:tcPr>
            <w:tcW w:w="2263" w:type="dxa"/>
            <w:tcBorders>
              <w:tl2br w:val="nil"/>
              <w:tr2bl w:val="nil"/>
            </w:tcBorders>
            <w:shd w:val="clear" w:color="auto" w:fill="FFFFFF"/>
            <w:tcMar>
              <w:top w:w="15" w:type="dxa"/>
              <w:left w:w="15" w:type="dxa"/>
              <w:right w:w="15" w:type="dxa"/>
            </w:tcMar>
            <w:vAlign w:val="center"/>
          </w:tcPr>
          <w:p w14:paraId="7C8DF46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18281E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B7BB1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61" w:type="dxa"/>
            <w:tcBorders>
              <w:tl2br w:val="nil"/>
              <w:tr2bl w:val="nil"/>
            </w:tcBorders>
            <w:shd w:val="clear" w:color="auto" w:fill="FFFFFF"/>
            <w:noWrap/>
            <w:tcMar>
              <w:top w:w="15" w:type="dxa"/>
              <w:left w:w="15" w:type="dxa"/>
              <w:right w:w="15" w:type="dxa"/>
            </w:tcMar>
            <w:vAlign w:val="center"/>
          </w:tcPr>
          <w:p w14:paraId="51828E0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5407" w:type="dxa"/>
            <w:tcBorders>
              <w:tl2br w:val="nil"/>
              <w:tr2bl w:val="nil"/>
            </w:tcBorders>
            <w:shd w:val="clear" w:color="auto" w:fill="FFFFFF"/>
            <w:tcMar>
              <w:top w:w="15" w:type="dxa"/>
              <w:left w:w="15" w:type="dxa"/>
              <w:right w:w="15" w:type="dxa"/>
            </w:tcMar>
            <w:vAlign w:val="center"/>
          </w:tcPr>
          <w:p w14:paraId="5BD0FA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在既往经</w:t>
            </w:r>
            <w:r>
              <w:rPr>
                <w:rStyle w:val="8"/>
                <w:rFonts w:eastAsia="宋体"/>
                <w:lang w:val="en-US" w:eastAsia="zh-CN" w:bidi="ar"/>
              </w:rPr>
              <w:t>PD-1/PD-L1</w:t>
            </w:r>
            <w:r>
              <w:rPr>
                <w:rStyle w:val="7"/>
                <w:lang w:val="en-US" w:eastAsia="zh-CN" w:bidi="ar"/>
              </w:rPr>
              <w:t>单抗联合含铂化疗治疗失败的复发性或转移性食管鳞癌患者中对比</w:t>
            </w:r>
            <w:r>
              <w:rPr>
                <w:rStyle w:val="8"/>
                <w:rFonts w:eastAsia="宋体"/>
                <w:lang w:val="en-US" w:eastAsia="zh-CN" w:bidi="ar"/>
              </w:rPr>
              <w:t>BL-B01D1</w:t>
            </w:r>
            <w:r>
              <w:rPr>
                <w:rStyle w:val="7"/>
                <w:lang w:val="en-US" w:eastAsia="zh-CN" w:bidi="ar"/>
              </w:rPr>
              <w:t>与医生选择的化疗方案（二线）</w:t>
            </w:r>
            <w:r>
              <w:rPr>
                <w:rStyle w:val="8"/>
                <w:rFonts w:eastAsia="宋体"/>
                <w:lang w:val="en-US" w:eastAsia="zh-CN" w:bidi="ar"/>
              </w:rPr>
              <w:t>III</w:t>
            </w:r>
            <w:r>
              <w:rPr>
                <w:rStyle w:val="7"/>
                <w:lang w:val="en-US" w:eastAsia="zh-CN" w:bidi="ar"/>
              </w:rPr>
              <w:t>期随机对照临床研究</w:t>
            </w:r>
          </w:p>
        </w:tc>
        <w:tc>
          <w:tcPr>
            <w:tcW w:w="1725" w:type="dxa"/>
            <w:tcBorders>
              <w:tl2br w:val="nil"/>
              <w:tr2bl w:val="nil"/>
            </w:tcBorders>
            <w:shd w:val="clear" w:color="auto" w:fill="FFFFFF"/>
            <w:tcMar>
              <w:top w:w="15" w:type="dxa"/>
              <w:left w:w="15" w:type="dxa"/>
              <w:right w:w="15" w:type="dxa"/>
            </w:tcMar>
            <w:vAlign w:val="center"/>
          </w:tcPr>
          <w:p w14:paraId="3AD40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食管鳞癌</w:t>
            </w:r>
          </w:p>
        </w:tc>
        <w:tc>
          <w:tcPr>
            <w:tcW w:w="1425" w:type="dxa"/>
            <w:tcBorders>
              <w:tl2br w:val="nil"/>
              <w:tr2bl w:val="nil"/>
            </w:tcBorders>
            <w:shd w:val="clear" w:color="auto" w:fill="FFFFFF"/>
            <w:tcMar>
              <w:top w:w="15" w:type="dxa"/>
              <w:left w:w="15" w:type="dxa"/>
              <w:right w:w="15" w:type="dxa"/>
            </w:tcMar>
            <w:vAlign w:val="center"/>
          </w:tcPr>
          <w:p w14:paraId="7FD5B2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53A88E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李高峰</w:t>
            </w:r>
          </w:p>
        </w:tc>
        <w:tc>
          <w:tcPr>
            <w:tcW w:w="2263" w:type="dxa"/>
            <w:tcBorders>
              <w:tl2br w:val="nil"/>
              <w:tr2bl w:val="nil"/>
            </w:tcBorders>
            <w:shd w:val="clear" w:color="auto" w:fill="FFFFFF"/>
            <w:tcMar>
              <w:top w:w="15" w:type="dxa"/>
              <w:left w:w="15" w:type="dxa"/>
              <w:right w:w="15" w:type="dxa"/>
            </w:tcMar>
            <w:vAlign w:val="center"/>
          </w:tcPr>
          <w:p w14:paraId="70FB9EA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9A8B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57BC3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10EDBC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5407" w:type="dxa"/>
            <w:tcBorders>
              <w:tl2br w:val="nil"/>
              <w:tr2bl w:val="nil"/>
            </w:tcBorders>
            <w:shd w:val="clear" w:color="auto" w:fill="FFFFFF"/>
            <w:tcMar>
              <w:top w:w="15" w:type="dxa"/>
              <w:left w:w="15" w:type="dxa"/>
              <w:right w:w="15" w:type="dxa"/>
            </w:tcMar>
            <w:vAlign w:val="center"/>
          </w:tcPr>
          <w:p w14:paraId="4771AB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8"/>
                <w:rFonts w:eastAsia="宋体"/>
                <w:lang w:val="en-US" w:eastAsia="zh-CN" w:bidi="ar"/>
              </w:rPr>
              <w:t>HRS-1358</w:t>
            </w:r>
            <w:r>
              <w:rPr>
                <w:rStyle w:val="7"/>
                <w:lang w:val="en-US" w:eastAsia="zh-CN" w:bidi="ar"/>
              </w:rPr>
              <w:t>单药在</w:t>
            </w:r>
            <w:r>
              <w:rPr>
                <w:rStyle w:val="8"/>
                <w:rFonts w:eastAsia="宋体"/>
                <w:lang w:val="en-US" w:eastAsia="zh-CN" w:bidi="ar"/>
              </w:rPr>
              <w:t>ER</w:t>
            </w:r>
            <w:r>
              <w:rPr>
                <w:rStyle w:val="7"/>
                <w:lang w:val="en-US" w:eastAsia="zh-CN" w:bidi="ar"/>
              </w:rPr>
              <w:t>阳性、</w:t>
            </w:r>
            <w:r>
              <w:rPr>
                <w:rStyle w:val="8"/>
                <w:rFonts w:eastAsia="宋体"/>
                <w:lang w:val="en-US" w:eastAsia="zh-CN" w:bidi="ar"/>
              </w:rPr>
              <w:t>HER2</w:t>
            </w:r>
            <w:r>
              <w:rPr>
                <w:rStyle w:val="7"/>
                <w:lang w:val="en-US" w:eastAsia="zh-CN" w:bidi="ar"/>
              </w:rPr>
              <w:t>阴性转移性或局部复发乳腺癌患者中的安全性、耐受性及药代动力学的单臂、开放、多中心</w:t>
            </w:r>
            <w:r>
              <w:rPr>
                <w:rStyle w:val="8"/>
                <w:rFonts w:eastAsia="宋体"/>
                <w:lang w:val="en-US" w:eastAsia="zh-CN" w:bidi="ar"/>
              </w:rPr>
              <w:t>I</w:t>
            </w:r>
            <w:r>
              <w:rPr>
                <w:rStyle w:val="7"/>
                <w:lang w:val="en-US" w:eastAsia="zh-CN" w:bidi="ar"/>
              </w:rPr>
              <w:t>期临床研究</w:t>
            </w:r>
          </w:p>
        </w:tc>
        <w:tc>
          <w:tcPr>
            <w:tcW w:w="1725" w:type="dxa"/>
            <w:tcBorders>
              <w:tl2br w:val="nil"/>
              <w:tr2bl w:val="nil"/>
            </w:tcBorders>
            <w:shd w:val="clear" w:color="auto" w:fill="FFFFFF"/>
            <w:tcMar>
              <w:top w:w="15" w:type="dxa"/>
              <w:left w:w="15" w:type="dxa"/>
              <w:right w:w="15" w:type="dxa"/>
            </w:tcMar>
            <w:vAlign w:val="center"/>
          </w:tcPr>
          <w:p w14:paraId="5F4CAA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19"/>
                <w:szCs w:val="19"/>
                <w:u w:val="none"/>
                <w:lang w:val="en-US" w:eastAsia="zh-CN" w:bidi="ar"/>
              </w:rPr>
              <w:t xml:space="preserve">ER </w:t>
            </w:r>
            <w:r>
              <w:rPr>
                <w:rFonts w:hint="eastAsia" w:ascii="宋体" w:hAnsi="宋体" w:eastAsia="宋体" w:cs="宋体"/>
                <w:i w:val="0"/>
                <w:iCs w:val="0"/>
                <w:color w:val="000000"/>
                <w:kern w:val="0"/>
                <w:sz w:val="19"/>
                <w:szCs w:val="19"/>
                <w:u w:val="none"/>
                <w:lang w:val="en-US" w:eastAsia="zh-CN" w:bidi="ar"/>
              </w:rPr>
              <w:t xml:space="preserve">阳性 </w:t>
            </w:r>
            <w:r>
              <w:rPr>
                <w:rFonts w:hint="default" w:ascii="Arial" w:hAnsi="Arial" w:eastAsia="宋体" w:cs="Arial"/>
                <w:i w:val="0"/>
                <w:iCs w:val="0"/>
                <w:color w:val="000000"/>
                <w:kern w:val="0"/>
                <w:sz w:val="19"/>
                <w:szCs w:val="19"/>
                <w:u w:val="none"/>
                <w:lang w:val="en-US" w:eastAsia="zh-CN" w:bidi="ar"/>
              </w:rPr>
              <w:t xml:space="preserve">HER2 </w:t>
            </w:r>
            <w:r>
              <w:rPr>
                <w:rFonts w:hint="eastAsia" w:ascii="宋体" w:hAnsi="宋体" w:eastAsia="宋体" w:cs="宋体"/>
                <w:i w:val="0"/>
                <w:iCs w:val="0"/>
                <w:color w:val="000000"/>
                <w:kern w:val="0"/>
                <w:sz w:val="19"/>
                <w:szCs w:val="19"/>
                <w:u w:val="none"/>
                <w:lang w:val="en-US" w:eastAsia="zh-CN" w:bidi="ar"/>
              </w:rPr>
              <w:t>阴性、转移性或局部复发乳腺癌患者</w:t>
            </w:r>
          </w:p>
        </w:tc>
        <w:tc>
          <w:tcPr>
            <w:tcW w:w="1425" w:type="dxa"/>
            <w:tcBorders>
              <w:tl2br w:val="nil"/>
              <w:tr2bl w:val="nil"/>
            </w:tcBorders>
            <w:shd w:val="clear" w:color="auto" w:fill="FFFFFF"/>
            <w:tcMar>
              <w:top w:w="15" w:type="dxa"/>
              <w:left w:w="15" w:type="dxa"/>
              <w:right w:w="15" w:type="dxa"/>
            </w:tcMar>
            <w:vAlign w:val="center"/>
          </w:tcPr>
          <w:p w14:paraId="61BB361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1137BD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聂建云</w:t>
            </w:r>
          </w:p>
        </w:tc>
        <w:tc>
          <w:tcPr>
            <w:tcW w:w="2263" w:type="dxa"/>
            <w:tcBorders>
              <w:tl2br w:val="nil"/>
              <w:tr2bl w:val="nil"/>
            </w:tcBorders>
            <w:shd w:val="clear" w:color="auto" w:fill="FFFFFF"/>
            <w:tcMar>
              <w:top w:w="15" w:type="dxa"/>
              <w:left w:w="15" w:type="dxa"/>
              <w:right w:w="15" w:type="dxa"/>
            </w:tcMar>
            <w:vAlign w:val="center"/>
          </w:tcPr>
          <w:p w14:paraId="2754021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B94F3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BBE5E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5AC069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5407" w:type="dxa"/>
            <w:tcBorders>
              <w:tl2br w:val="nil"/>
              <w:tr2bl w:val="nil"/>
            </w:tcBorders>
            <w:shd w:val="clear" w:color="auto" w:fill="FFFFFF"/>
            <w:tcMar>
              <w:top w:w="15" w:type="dxa"/>
              <w:left w:w="15" w:type="dxa"/>
              <w:right w:w="15" w:type="dxa"/>
            </w:tcMar>
            <w:vAlign w:val="center"/>
          </w:tcPr>
          <w:p w14:paraId="322549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注射用多西他赛（白蛋白结合型）对比泰索帝</w:t>
            </w:r>
            <w:r>
              <w:rPr>
                <w:rStyle w:val="8"/>
                <w:rFonts w:eastAsia="宋体"/>
                <w:lang w:val="en-US" w:eastAsia="zh-CN" w:bidi="ar"/>
              </w:rPr>
              <w:t>®</w:t>
            </w:r>
            <w:r>
              <w:rPr>
                <w:rStyle w:val="7"/>
                <w:lang w:val="en-US" w:eastAsia="zh-CN" w:bidi="ar"/>
              </w:rPr>
              <w:t>治疗既往一线治疗失败的局部晚期或转移性胃腺癌或胃食管结合部腺癌的多中心、随机、开放、阳性对照</w:t>
            </w:r>
            <w:r>
              <w:rPr>
                <w:rStyle w:val="8"/>
                <w:rFonts w:eastAsia="宋体"/>
                <w:lang w:val="en-US" w:eastAsia="zh-CN" w:bidi="ar"/>
              </w:rPr>
              <w:t>III</w:t>
            </w:r>
            <w:r>
              <w:rPr>
                <w:rStyle w:val="7"/>
                <w:lang w:val="en-US" w:eastAsia="zh-CN" w:bidi="ar"/>
              </w:rPr>
              <w:t>期临床研究</w:t>
            </w:r>
          </w:p>
        </w:tc>
        <w:tc>
          <w:tcPr>
            <w:tcW w:w="1725" w:type="dxa"/>
            <w:tcBorders>
              <w:tl2br w:val="nil"/>
              <w:tr2bl w:val="nil"/>
            </w:tcBorders>
            <w:shd w:val="clear" w:color="auto" w:fill="FFFFFF"/>
            <w:tcMar>
              <w:top w:w="15" w:type="dxa"/>
              <w:left w:w="15" w:type="dxa"/>
              <w:right w:w="15" w:type="dxa"/>
            </w:tcMar>
            <w:vAlign w:val="center"/>
          </w:tcPr>
          <w:p w14:paraId="16141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既往一线治疗失败的局部晚期或转移性胃腺癌或胃食管结合部腺癌</w:t>
            </w:r>
          </w:p>
        </w:tc>
        <w:tc>
          <w:tcPr>
            <w:tcW w:w="1425" w:type="dxa"/>
            <w:tcBorders>
              <w:tl2br w:val="nil"/>
              <w:tr2bl w:val="nil"/>
            </w:tcBorders>
            <w:shd w:val="clear" w:color="auto" w:fill="FFFFFF"/>
            <w:tcMar>
              <w:top w:w="15" w:type="dxa"/>
              <w:left w:w="15" w:type="dxa"/>
              <w:right w:w="15" w:type="dxa"/>
            </w:tcMar>
            <w:vAlign w:val="center"/>
          </w:tcPr>
          <w:p w14:paraId="40478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胃与小肠外科</w:t>
            </w:r>
          </w:p>
        </w:tc>
        <w:tc>
          <w:tcPr>
            <w:tcW w:w="1780" w:type="dxa"/>
            <w:tcBorders>
              <w:tl2br w:val="nil"/>
              <w:tr2bl w:val="nil"/>
            </w:tcBorders>
            <w:shd w:val="clear" w:color="auto" w:fill="FFFFFF"/>
            <w:tcMar>
              <w:top w:w="15" w:type="dxa"/>
              <w:left w:w="15" w:type="dxa"/>
              <w:right w:w="15" w:type="dxa"/>
            </w:tcMar>
            <w:vAlign w:val="center"/>
          </w:tcPr>
          <w:p w14:paraId="2126C6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代佑果</w:t>
            </w:r>
          </w:p>
        </w:tc>
        <w:tc>
          <w:tcPr>
            <w:tcW w:w="2263" w:type="dxa"/>
            <w:tcBorders>
              <w:tl2br w:val="nil"/>
              <w:tr2bl w:val="nil"/>
            </w:tcBorders>
            <w:shd w:val="clear" w:color="auto" w:fill="FFFFFF"/>
            <w:tcMar>
              <w:top w:w="15" w:type="dxa"/>
              <w:left w:w="15" w:type="dxa"/>
              <w:right w:w="15" w:type="dxa"/>
            </w:tcMar>
            <w:vAlign w:val="center"/>
          </w:tcPr>
          <w:p w14:paraId="5952E0F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F789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9B0D4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26" w:hRule="atLeast"/>
        </w:trPr>
        <w:tc>
          <w:tcPr>
            <w:tcW w:w="561" w:type="dxa"/>
            <w:tcBorders>
              <w:tl2br w:val="nil"/>
              <w:tr2bl w:val="nil"/>
            </w:tcBorders>
            <w:shd w:val="clear" w:color="auto" w:fill="FFFFFF"/>
            <w:noWrap/>
            <w:tcMar>
              <w:top w:w="15" w:type="dxa"/>
              <w:left w:w="15" w:type="dxa"/>
              <w:right w:w="15" w:type="dxa"/>
            </w:tcMar>
            <w:vAlign w:val="center"/>
          </w:tcPr>
          <w:p w14:paraId="10202F9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5407" w:type="dxa"/>
            <w:tcBorders>
              <w:tl2br w:val="nil"/>
              <w:tr2bl w:val="nil"/>
            </w:tcBorders>
            <w:shd w:val="clear" w:color="auto" w:fill="FFFFFF"/>
            <w:tcMar>
              <w:top w:w="15" w:type="dxa"/>
              <w:left w:w="15" w:type="dxa"/>
              <w:right w:w="15" w:type="dxa"/>
            </w:tcMar>
            <w:vAlign w:val="center"/>
          </w:tcPr>
          <w:p w14:paraId="62E963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8"/>
                <w:rFonts w:eastAsia="宋体"/>
                <w:lang w:val="en-US" w:eastAsia="zh-CN" w:bidi="ar"/>
              </w:rPr>
              <w:t xml:space="preserve">PM8002 </w:t>
            </w:r>
            <w:r>
              <w:rPr>
                <w:rStyle w:val="7"/>
                <w:lang w:val="en-US" w:eastAsia="zh-CN" w:bidi="ar"/>
              </w:rPr>
              <w:t>注射液或安慰剂联合注射用白蛋白结合型紫杉醇一线治疗不可手术的局部晚期</w:t>
            </w:r>
            <w:r>
              <w:rPr>
                <w:rStyle w:val="8"/>
                <w:rFonts w:eastAsia="宋体"/>
                <w:lang w:val="en-US" w:eastAsia="zh-CN" w:bidi="ar"/>
              </w:rPr>
              <w:t>/</w:t>
            </w:r>
            <w:r>
              <w:rPr>
                <w:rStyle w:val="7"/>
                <w:lang w:val="en-US" w:eastAsia="zh-CN" w:bidi="ar"/>
              </w:rPr>
              <w:t>复发转移性三阴性乳腺癌的多中心、随机、双盲 Ⅲ 期临床研究</w:t>
            </w:r>
          </w:p>
        </w:tc>
        <w:tc>
          <w:tcPr>
            <w:tcW w:w="1725" w:type="dxa"/>
            <w:tcBorders>
              <w:tl2br w:val="nil"/>
              <w:tr2bl w:val="nil"/>
            </w:tcBorders>
            <w:shd w:val="clear" w:color="auto" w:fill="FFFFFF"/>
            <w:tcMar>
              <w:top w:w="15" w:type="dxa"/>
              <w:left w:w="15" w:type="dxa"/>
              <w:right w:w="15" w:type="dxa"/>
            </w:tcMar>
            <w:vAlign w:val="center"/>
          </w:tcPr>
          <w:p w14:paraId="72BE26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未经系统治疗的不可手术的局部晚期或复发转移性三阴性乳腺癌（</w:t>
            </w:r>
            <w:r>
              <w:rPr>
                <w:rFonts w:hint="default" w:ascii="Arial" w:hAnsi="Arial" w:eastAsia="宋体" w:cs="Arial"/>
                <w:i w:val="0"/>
                <w:iCs w:val="0"/>
                <w:color w:val="000000"/>
                <w:kern w:val="0"/>
                <w:sz w:val="19"/>
                <w:szCs w:val="19"/>
                <w:u w:val="none"/>
                <w:lang w:val="en-US" w:eastAsia="zh-CN" w:bidi="ar"/>
              </w:rPr>
              <w:t>TNBC</w:t>
            </w:r>
            <w:r>
              <w:rPr>
                <w:rFonts w:hint="eastAsia" w:ascii="宋体" w:hAnsi="宋体" w:eastAsia="宋体" w:cs="宋体"/>
                <w:i w:val="0"/>
                <w:iCs w:val="0"/>
                <w:color w:val="000000"/>
                <w:kern w:val="0"/>
                <w:sz w:val="19"/>
                <w:szCs w:val="19"/>
                <w:u w:val="none"/>
                <w:lang w:val="en-US" w:eastAsia="zh-CN" w:bidi="ar"/>
              </w:rPr>
              <w:t>）受试者</w:t>
            </w:r>
          </w:p>
        </w:tc>
        <w:tc>
          <w:tcPr>
            <w:tcW w:w="1425" w:type="dxa"/>
            <w:tcBorders>
              <w:tl2br w:val="nil"/>
              <w:tr2bl w:val="nil"/>
            </w:tcBorders>
            <w:shd w:val="clear" w:color="auto" w:fill="FFFFFF"/>
            <w:tcMar>
              <w:top w:w="15" w:type="dxa"/>
              <w:left w:w="15" w:type="dxa"/>
              <w:right w:w="15" w:type="dxa"/>
            </w:tcMar>
            <w:vAlign w:val="center"/>
          </w:tcPr>
          <w:p w14:paraId="6EDFA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2591B3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聂建云</w:t>
            </w:r>
          </w:p>
        </w:tc>
        <w:tc>
          <w:tcPr>
            <w:tcW w:w="2263" w:type="dxa"/>
            <w:tcBorders>
              <w:tl2br w:val="nil"/>
              <w:tr2bl w:val="nil"/>
            </w:tcBorders>
            <w:shd w:val="clear" w:color="auto" w:fill="FFFFFF"/>
            <w:tcMar>
              <w:top w:w="15" w:type="dxa"/>
              <w:left w:w="15" w:type="dxa"/>
              <w:right w:w="15" w:type="dxa"/>
            </w:tcMar>
            <w:vAlign w:val="center"/>
          </w:tcPr>
          <w:p w14:paraId="4822B50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1C59D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E47A5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F62AD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5407" w:type="dxa"/>
            <w:tcBorders>
              <w:tl2br w:val="nil"/>
              <w:tr2bl w:val="nil"/>
            </w:tcBorders>
            <w:shd w:val="clear" w:color="auto" w:fill="FFFFFF"/>
            <w:tcMar>
              <w:top w:w="15" w:type="dxa"/>
              <w:left w:w="15" w:type="dxa"/>
              <w:right w:w="15" w:type="dxa"/>
            </w:tcMar>
            <w:vAlign w:val="center"/>
          </w:tcPr>
          <w:p w14:paraId="2CE546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一项评估</w:t>
            </w:r>
            <w:r>
              <w:rPr>
                <w:rStyle w:val="8"/>
                <w:rFonts w:eastAsia="宋体"/>
                <w:lang w:val="en-US" w:eastAsia="zh-CN" w:bidi="ar"/>
              </w:rPr>
              <w:t>SPH7485</w:t>
            </w:r>
            <w:r>
              <w:rPr>
                <w:rStyle w:val="7"/>
                <w:lang w:val="en-US" w:eastAsia="zh-CN" w:bidi="ar"/>
              </w:rPr>
              <w:t>片在晚期实体瘤患者中安全性、耐受性、药代动力学及初步疗效的</w:t>
            </w:r>
            <w:r>
              <w:rPr>
                <w:rStyle w:val="8"/>
                <w:rFonts w:eastAsia="宋体"/>
                <w:lang w:val="en-US" w:eastAsia="zh-CN" w:bidi="ar"/>
              </w:rPr>
              <w:t>I</w:t>
            </w:r>
            <w:r>
              <w:rPr>
                <w:rStyle w:val="7"/>
                <w:lang w:val="en-US" w:eastAsia="zh-CN" w:bidi="ar"/>
              </w:rPr>
              <w:t>期、开放、剂量递增和剂量扩展研究</w:t>
            </w:r>
          </w:p>
        </w:tc>
        <w:tc>
          <w:tcPr>
            <w:tcW w:w="1725" w:type="dxa"/>
            <w:tcBorders>
              <w:tl2br w:val="nil"/>
              <w:tr2bl w:val="nil"/>
            </w:tcBorders>
            <w:shd w:val="clear" w:color="auto" w:fill="FFFFFF"/>
            <w:tcMar>
              <w:top w:w="15" w:type="dxa"/>
              <w:left w:w="15" w:type="dxa"/>
              <w:right w:w="15" w:type="dxa"/>
            </w:tcMar>
            <w:vAlign w:val="center"/>
          </w:tcPr>
          <w:p w14:paraId="191CCD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铂耐药复发卵巢癌、输卵管癌或原发性腹膜癌</w:t>
            </w:r>
          </w:p>
        </w:tc>
        <w:tc>
          <w:tcPr>
            <w:tcW w:w="1425" w:type="dxa"/>
            <w:tcBorders>
              <w:tl2br w:val="nil"/>
              <w:tr2bl w:val="nil"/>
            </w:tcBorders>
            <w:shd w:val="clear" w:color="auto" w:fill="FFFFFF"/>
            <w:tcMar>
              <w:top w:w="15" w:type="dxa"/>
              <w:left w:w="15" w:type="dxa"/>
              <w:right w:w="15" w:type="dxa"/>
            </w:tcMar>
            <w:vAlign w:val="center"/>
          </w:tcPr>
          <w:p w14:paraId="1D791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37663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杨宏英</w:t>
            </w:r>
          </w:p>
        </w:tc>
        <w:tc>
          <w:tcPr>
            <w:tcW w:w="2263" w:type="dxa"/>
            <w:tcBorders>
              <w:tl2br w:val="nil"/>
              <w:tr2bl w:val="nil"/>
            </w:tcBorders>
            <w:shd w:val="clear" w:color="auto" w:fill="FFFFFF"/>
            <w:tcMar>
              <w:top w:w="15" w:type="dxa"/>
              <w:left w:w="15" w:type="dxa"/>
              <w:right w:w="15" w:type="dxa"/>
            </w:tcMar>
            <w:vAlign w:val="center"/>
          </w:tcPr>
          <w:p w14:paraId="10E6F13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F382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FD8A3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207E79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5407" w:type="dxa"/>
            <w:tcBorders>
              <w:tl2br w:val="nil"/>
              <w:tr2bl w:val="nil"/>
            </w:tcBorders>
            <w:shd w:val="clear" w:color="auto" w:fill="FFFFFF"/>
            <w:tcMar>
              <w:top w:w="15" w:type="dxa"/>
              <w:left w:w="15" w:type="dxa"/>
              <w:right w:w="15" w:type="dxa"/>
            </w:tcMar>
            <w:vAlign w:val="center"/>
          </w:tcPr>
          <w:p w14:paraId="018108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在既往经至少一线化疗失败的不可手术切除的局部晚期、复发或转移性</w:t>
            </w:r>
            <w:r>
              <w:rPr>
                <w:rStyle w:val="8"/>
                <w:rFonts w:eastAsia="宋体"/>
                <w:lang w:val="en-US" w:eastAsia="zh-CN" w:bidi="ar"/>
              </w:rPr>
              <w:t>HR+HER2-</w:t>
            </w:r>
            <w:r>
              <w:rPr>
                <w:rStyle w:val="7"/>
                <w:lang w:val="en-US" w:eastAsia="zh-CN" w:bidi="ar"/>
              </w:rPr>
              <w:t>乳腺癌患者中对比</w:t>
            </w:r>
            <w:r>
              <w:rPr>
                <w:rStyle w:val="8"/>
                <w:rFonts w:eastAsia="宋体"/>
                <w:lang w:val="en-US" w:eastAsia="zh-CN" w:bidi="ar"/>
              </w:rPr>
              <w:t>BL-BOID1</w:t>
            </w:r>
            <w:r>
              <w:rPr>
                <w:rStyle w:val="7"/>
                <w:lang w:val="en-US" w:eastAsia="zh-CN" w:bidi="ar"/>
              </w:rPr>
              <w:t>与医生选择的化疗方案Ⅲ期随机对照临床研究</w:t>
            </w:r>
          </w:p>
        </w:tc>
        <w:tc>
          <w:tcPr>
            <w:tcW w:w="1725" w:type="dxa"/>
            <w:tcBorders>
              <w:tl2br w:val="nil"/>
              <w:tr2bl w:val="nil"/>
            </w:tcBorders>
            <w:shd w:val="clear" w:color="auto" w:fill="FFFFFF"/>
            <w:tcMar>
              <w:top w:w="15" w:type="dxa"/>
              <w:left w:w="15" w:type="dxa"/>
              <w:right w:w="15" w:type="dxa"/>
            </w:tcMar>
            <w:vAlign w:val="center"/>
          </w:tcPr>
          <w:p w14:paraId="2D9DA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14:paraId="409E3C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19DC95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杨庄青</w:t>
            </w:r>
          </w:p>
        </w:tc>
        <w:tc>
          <w:tcPr>
            <w:tcW w:w="2263" w:type="dxa"/>
            <w:tcBorders>
              <w:tl2br w:val="nil"/>
              <w:tr2bl w:val="nil"/>
            </w:tcBorders>
            <w:shd w:val="clear" w:color="auto" w:fill="FFFFFF"/>
            <w:tcMar>
              <w:top w:w="15" w:type="dxa"/>
              <w:left w:w="15" w:type="dxa"/>
              <w:right w:w="15" w:type="dxa"/>
            </w:tcMar>
            <w:vAlign w:val="center"/>
          </w:tcPr>
          <w:p w14:paraId="06182B4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AA05C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5C78F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5E462E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5407" w:type="dxa"/>
            <w:tcBorders>
              <w:tl2br w:val="nil"/>
              <w:tr2bl w:val="nil"/>
            </w:tcBorders>
            <w:shd w:val="clear" w:color="auto" w:fill="FFFFFF"/>
            <w:tcMar>
              <w:top w:w="15" w:type="dxa"/>
              <w:left w:w="15" w:type="dxa"/>
              <w:right w:w="15" w:type="dxa"/>
            </w:tcMar>
            <w:vAlign w:val="center"/>
          </w:tcPr>
          <w:p w14:paraId="136AFF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评价</w:t>
            </w:r>
            <w:r>
              <w:rPr>
                <w:rStyle w:val="8"/>
                <w:rFonts w:eastAsia="宋体"/>
                <w:lang w:val="en-US" w:eastAsia="zh-CN" w:bidi="ar"/>
              </w:rPr>
              <w:t>B013</w:t>
            </w:r>
            <w:r>
              <w:rPr>
                <w:rStyle w:val="7"/>
                <w:lang w:val="en-US" w:eastAsia="zh-CN" w:bidi="ar"/>
              </w:rPr>
              <w:t>联合紫杉醇治疗铂耐药复发卵巢癌、输卵管癌或原发性腹膜癌的有效性和安全性的多中心、随机双盲、平行对照的Ⅱ期临床研究</w:t>
            </w:r>
          </w:p>
        </w:tc>
        <w:tc>
          <w:tcPr>
            <w:tcW w:w="1725" w:type="dxa"/>
            <w:tcBorders>
              <w:tl2br w:val="nil"/>
              <w:tr2bl w:val="nil"/>
            </w:tcBorders>
            <w:shd w:val="clear" w:color="auto" w:fill="FFFFFF"/>
            <w:tcMar>
              <w:top w:w="15" w:type="dxa"/>
              <w:left w:w="15" w:type="dxa"/>
              <w:right w:w="15" w:type="dxa"/>
            </w:tcMar>
            <w:vAlign w:val="center"/>
          </w:tcPr>
          <w:p w14:paraId="44D93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铂耐药复发卵巢癌、输卵管癌或原发性腹膜癌</w:t>
            </w:r>
          </w:p>
        </w:tc>
        <w:tc>
          <w:tcPr>
            <w:tcW w:w="1425" w:type="dxa"/>
            <w:tcBorders>
              <w:tl2br w:val="nil"/>
              <w:tr2bl w:val="nil"/>
            </w:tcBorders>
            <w:shd w:val="clear" w:color="auto" w:fill="FFFFFF"/>
            <w:tcMar>
              <w:top w:w="15" w:type="dxa"/>
              <w:left w:w="15" w:type="dxa"/>
              <w:right w:w="15" w:type="dxa"/>
            </w:tcMar>
            <w:vAlign w:val="center"/>
          </w:tcPr>
          <w:p w14:paraId="714EB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11873AE2">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杨宏英</w:t>
            </w:r>
          </w:p>
        </w:tc>
        <w:tc>
          <w:tcPr>
            <w:tcW w:w="2263" w:type="dxa"/>
            <w:tcBorders>
              <w:tl2br w:val="nil"/>
              <w:tr2bl w:val="nil"/>
            </w:tcBorders>
            <w:shd w:val="clear" w:color="auto" w:fill="FFFFFF"/>
            <w:tcMar>
              <w:top w:w="15" w:type="dxa"/>
              <w:left w:w="15" w:type="dxa"/>
              <w:right w:w="15" w:type="dxa"/>
            </w:tcMar>
            <w:vAlign w:val="center"/>
          </w:tcPr>
          <w:p w14:paraId="0A2CA6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1897F4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255A2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7D64B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5407" w:type="dxa"/>
            <w:tcBorders>
              <w:tl2br w:val="nil"/>
              <w:tr2bl w:val="nil"/>
            </w:tcBorders>
            <w:shd w:val="clear" w:color="auto" w:fill="FFFFFF"/>
            <w:tcMar>
              <w:top w:w="15" w:type="dxa"/>
              <w:left w:w="15" w:type="dxa"/>
              <w:right w:w="15" w:type="dxa"/>
            </w:tcMar>
            <w:vAlign w:val="center"/>
          </w:tcPr>
          <w:p w14:paraId="7CC813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在既往经抗</w:t>
            </w:r>
            <w:r>
              <w:rPr>
                <w:rStyle w:val="8"/>
                <w:rFonts w:eastAsia="宋体"/>
                <w:lang w:val="en-US" w:eastAsia="zh-CN" w:bidi="ar"/>
              </w:rPr>
              <w:t xml:space="preserve">PD-1/PD-L1 </w:t>
            </w:r>
            <w:r>
              <w:rPr>
                <w:rStyle w:val="7"/>
                <w:lang w:val="en-US" w:eastAsia="zh-CN" w:bidi="ar"/>
              </w:rPr>
              <w:t>单抗治疗且经含铂化疗治疗失败的局部晚期或转移性</w:t>
            </w:r>
            <w:r>
              <w:rPr>
                <w:rStyle w:val="8"/>
                <w:rFonts w:eastAsia="宋体"/>
                <w:lang w:val="en-US" w:eastAsia="zh-CN" w:bidi="ar"/>
              </w:rPr>
              <w:t xml:space="preserve">EGFR </w:t>
            </w:r>
            <w:r>
              <w:rPr>
                <w:rStyle w:val="7"/>
                <w:lang w:val="en-US" w:eastAsia="zh-CN" w:bidi="ar"/>
              </w:rPr>
              <w:t>野生型非小细胞肺癌患者中对比</w:t>
            </w:r>
            <w:r>
              <w:rPr>
                <w:rStyle w:val="8"/>
                <w:rFonts w:eastAsia="宋体"/>
                <w:lang w:val="en-US" w:eastAsia="zh-CN" w:bidi="ar"/>
              </w:rPr>
              <w:t xml:space="preserve">BL-B01D1 </w:t>
            </w:r>
            <w:r>
              <w:rPr>
                <w:rStyle w:val="7"/>
                <w:lang w:val="en-US" w:eastAsia="zh-CN" w:bidi="ar"/>
              </w:rPr>
              <w:t>与多西他赛的</w:t>
            </w:r>
            <w:r>
              <w:rPr>
                <w:rStyle w:val="8"/>
                <w:rFonts w:eastAsia="宋体"/>
                <w:lang w:val="en-US" w:eastAsia="zh-CN" w:bidi="ar"/>
              </w:rPr>
              <w:t xml:space="preserve">III </w:t>
            </w:r>
            <w:r>
              <w:rPr>
                <w:rStyle w:val="7"/>
                <w:lang w:val="en-US" w:eastAsia="zh-CN" w:bidi="ar"/>
              </w:rPr>
              <w:t>期随机对照临床研究</w:t>
            </w:r>
          </w:p>
        </w:tc>
        <w:tc>
          <w:tcPr>
            <w:tcW w:w="1725" w:type="dxa"/>
            <w:tcBorders>
              <w:tl2br w:val="nil"/>
              <w:tr2bl w:val="nil"/>
            </w:tcBorders>
            <w:shd w:val="clear" w:color="auto" w:fill="FFFFFF"/>
            <w:tcMar>
              <w:top w:w="15" w:type="dxa"/>
              <w:left w:w="15" w:type="dxa"/>
              <w:right w:w="15" w:type="dxa"/>
            </w:tcMar>
            <w:vAlign w:val="center"/>
          </w:tcPr>
          <w:p w14:paraId="016851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25C871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康复与姑息医学科</w:t>
            </w:r>
          </w:p>
        </w:tc>
        <w:tc>
          <w:tcPr>
            <w:tcW w:w="1780" w:type="dxa"/>
            <w:tcBorders>
              <w:tl2br w:val="nil"/>
              <w:tr2bl w:val="nil"/>
            </w:tcBorders>
            <w:shd w:val="clear" w:color="auto" w:fill="FFFFFF"/>
            <w:tcMar>
              <w:top w:w="15" w:type="dxa"/>
              <w:left w:w="15" w:type="dxa"/>
              <w:right w:w="15" w:type="dxa"/>
            </w:tcMar>
            <w:vAlign w:val="center"/>
          </w:tcPr>
          <w:p w14:paraId="119B3BCE">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庄莉</w:t>
            </w:r>
          </w:p>
        </w:tc>
        <w:tc>
          <w:tcPr>
            <w:tcW w:w="2263" w:type="dxa"/>
            <w:tcBorders>
              <w:tl2br w:val="nil"/>
              <w:tr2bl w:val="nil"/>
            </w:tcBorders>
            <w:shd w:val="clear" w:color="auto" w:fill="FFFFFF"/>
            <w:tcMar>
              <w:top w:w="15" w:type="dxa"/>
              <w:left w:w="15" w:type="dxa"/>
              <w:right w:w="15" w:type="dxa"/>
            </w:tcMar>
            <w:vAlign w:val="center"/>
          </w:tcPr>
          <w:p w14:paraId="437DB1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92E7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BDA82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0F86BA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5407" w:type="dxa"/>
            <w:tcBorders>
              <w:tl2br w:val="nil"/>
              <w:tr2bl w:val="nil"/>
            </w:tcBorders>
            <w:shd w:val="clear" w:color="auto" w:fill="FFFFFF"/>
            <w:tcMar>
              <w:top w:w="15" w:type="dxa"/>
              <w:left w:w="15" w:type="dxa"/>
              <w:right w:w="15" w:type="dxa"/>
            </w:tcMar>
            <w:vAlign w:val="center"/>
          </w:tcPr>
          <w:p w14:paraId="155D0C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8"/>
                <w:rFonts w:eastAsia="宋体"/>
                <w:lang w:val="en-US" w:eastAsia="zh-CN" w:bidi="ar"/>
              </w:rPr>
              <w:t>SHR-4849</w:t>
            </w:r>
            <w:r>
              <w:rPr>
                <w:rStyle w:val="7"/>
                <w:lang w:val="en-US" w:eastAsia="zh-CN" w:bidi="ar"/>
              </w:rPr>
              <w:t>注射液在晚期恶性实体瘤患者中的安全性、耐受性、药代动力学和有效性的多中心、开放的</w:t>
            </w:r>
            <w:r>
              <w:rPr>
                <w:rStyle w:val="8"/>
                <w:rFonts w:eastAsia="宋体"/>
                <w:lang w:val="en-US" w:eastAsia="zh-CN" w:bidi="ar"/>
              </w:rPr>
              <w:t>I</w:t>
            </w:r>
            <w:r>
              <w:rPr>
                <w:rStyle w:val="7"/>
                <w:lang w:val="en-US" w:eastAsia="zh-CN" w:bidi="ar"/>
              </w:rPr>
              <w:t>期临床研究</w:t>
            </w:r>
          </w:p>
        </w:tc>
        <w:tc>
          <w:tcPr>
            <w:tcW w:w="1725" w:type="dxa"/>
            <w:tcBorders>
              <w:tl2br w:val="nil"/>
              <w:tr2bl w:val="nil"/>
            </w:tcBorders>
            <w:shd w:val="clear" w:color="auto" w:fill="FFFFFF"/>
            <w:tcMar>
              <w:top w:w="15" w:type="dxa"/>
              <w:left w:w="15" w:type="dxa"/>
              <w:right w:w="15" w:type="dxa"/>
            </w:tcMar>
            <w:vAlign w:val="center"/>
          </w:tcPr>
          <w:p w14:paraId="1DE549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经标准治疗失败的或无有标准治疗方案的晚期恶性实体瘤患者</w:t>
            </w:r>
          </w:p>
        </w:tc>
        <w:tc>
          <w:tcPr>
            <w:tcW w:w="1425" w:type="dxa"/>
            <w:tcBorders>
              <w:tl2br w:val="nil"/>
              <w:tr2bl w:val="nil"/>
            </w:tcBorders>
            <w:shd w:val="clear" w:color="auto" w:fill="FFFFFF"/>
            <w:tcMar>
              <w:top w:w="15" w:type="dxa"/>
              <w:left w:w="15" w:type="dxa"/>
              <w:right w:w="15" w:type="dxa"/>
            </w:tcMar>
            <w:vAlign w:val="center"/>
          </w:tcPr>
          <w:p w14:paraId="6CFF7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62EDE9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027A8E5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FC96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63DB9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2FC4D63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5407" w:type="dxa"/>
            <w:tcBorders>
              <w:tl2br w:val="nil"/>
              <w:tr2bl w:val="nil"/>
            </w:tcBorders>
            <w:shd w:val="clear" w:color="auto" w:fill="FFFFFF"/>
            <w:tcMar>
              <w:top w:w="15" w:type="dxa"/>
              <w:left w:w="15" w:type="dxa"/>
              <w:right w:w="15" w:type="dxa"/>
            </w:tcMar>
            <w:vAlign w:val="center"/>
          </w:tcPr>
          <w:p w14:paraId="412035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BEBT-109联合化疗一线治疗携带EGFR20号外显子插入突变的局部晚期、复发或转移性非小细胞肺癌的安全性和有效性的II期临床研究</w:t>
            </w:r>
          </w:p>
        </w:tc>
        <w:tc>
          <w:tcPr>
            <w:tcW w:w="1725" w:type="dxa"/>
            <w:tcBorders>
              <w:tl2br w:val="nil"/>
              <w:tr2bl w:val="nil"/>
            </w:tcBorders>
            <w:shd w:val="clear" w:color="auto" w:fill="FFFFFF"/>
            <w:tcMar>
              <w:top w:w="15" w:type="dxa"/>
              <w:left w:w="15" w:type="dxa"/>
              <w:right w:w="15" w:type="dxa"/>
            </w:tcMar>
            <w:vAlign w:val="center"/>
          </w:tcPr>
          <w:p w14:paraId="786F3B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19"/>
                <w:szCs w:val="19"/>
                <w:u w:val="none"/>
                <w:lang w:val="en-US" w:eastAsia="zh-CN" w:bidi="ar"/>
              </w:rPr>
              <w:t>EGFR20</w:t>
            </w:r>
            <w:r>
              <w:rPr>
                <w:rFonts w:hint="eastAsia" w:ascii="宋体" w:hAnsi="宋体" w:eastAsia="宋体" w:cs="宋体"/>
                <w:i w:val="0"/>
                <w:iCs w:val="0"/>
                <w:color w:val="000000"/>
                <w:kern w:val="0"/>
                <w:sz w:val="19"/>
                <w:szCs w:val="19"/>
                <w:u w:val="none"/>
                <w:lang w:val="en-US" w:eastAsia="zh-CN" w:bidi="ar"/>
              </w:rPr>
              <w:t>号外显子插入突变的局部晚期、复发或转移性非小细胞肺癌</w:t>
            </w:r>
          </w:p>
        </w:tc>
        <w:tc>
          <w:tcPr>
            <w:tcW w:w="1425" w:type="dxa"/>
            <w:tcBorders>
              <w:tl2br w:val="nil"/>
              <w:tr2bl w:val="nil"/>
            </w:tcBorders>
            <w:shd w:val="clear" w:color="auto" w:fill="FFFFFF"/>
            <w:tcMar>
              <w:top w:w="15" w:type="dxa"/>
              <w:left w:w="15" w:type="dxa"/>
              <w:right w:w="15" w:type="dxa"/>
            </w:tcMar>
            <w:vAlign w:val="center"/>
          </w:tcPr>
          <w:p w14:paraId="245AD6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康复与姑息医学科</w:t>
            </w:r>
          </w:p>
        </w:tc>
        <w:tc>
          <w:tcPr>
            <w:tcW w:w="1780" w:type="dxa"/>
            <w:tcBorders>
              <w:tl2br w:val="nil"/>
              <w:tr2bl w:val="nil"/>
            </w:tcBorders>
            <w:shd w:val="clear" w:color="auto" w:fill="FFFFFF"/>
            <w:tcMar>
              <w:top w:w="15" w:type="dxa"/>
              <w:left w:w="15" w:type="dxa"/>
              <w:right w:w="15" w:type="dxa"/>
            </w:tcMar>
            <w:vAlign w:val="center"/>
          </w:tcPr>
          <w:p w14:paraId="37EF4F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庄莉</w:t>
            </w:r>
          </w:p>
        </w:tc>
        <w:tc>
          <w:tcPr>
            <w:tcW w:w="2263" w:type="dxa"/>
            <w:tcBorders>
              <w:tl2br w:val="nil"/>
              <w:tr2bl w:val="nil"/>
            </w:tcBorders>
            <w:shd w:val="clear" w:color="auto" w:fill="FFFFFF"/>
            <w:tcMar>
              <w:top w:w="15" w:type="dxa"/>
              <w:left w:w="15" w:type="dxa"/>
              <w:right w:w="15" w:type="dxa"/>
            </w:tcMar>
            <w:vAlign w:val="center"/>
          </w:tcPr>
          <w:p w14:paraId="2617A3B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CF49B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9BAE8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5EC80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5407" w:type="dxa"/>
            <w:tcBorders>
              <w:tl2br w:val="nil"/>
              <w:tr2bl w:val="nil"/>
            </w:tcBorders>
            <w:shd w:val="clear" w:color="auto" w:fill="FFFFFF"/>
            <w:tcMar>
              <w:top w:w="15" w:type="dxa"/>
              <w:left w:w="15" w:type="dxa"/>
              <w:right w:w="15" w:type="dxa"/>
            </w:tcMar>
            <w:vAlign w:val="center"/>
          </w:tcPr>
          <w:p w14:paraId="500477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评价</w:t>
            </w:r>
            <w:r>
              <w:rPr>
                <w:rStyle w:val="8"/>
                <w:rFonts w:eastAsia="宋体"/>
                <w:lang w:val="en-US" w:eastAsia="zh-CN" w:bidi="ar"/>
              </w:rPr>
              <w:t>BL-B01D1</w:t>
            </w:r>
            <w:r>
              <w:rPr>
                <w:rStyle w:val="7"/>
                <w:lang w:val="en-US" w:eastAsia="zh-CN" w:bidi="ar"/>
              </w:rPr>
              <w:t>联合</w:t>
            </w:r>
            <w:r>
              <w:rPr>
                <w:rStyle w:val="8"/>
                <w:rFonts w:eastAsia="宋体"/>
                <w:lang w:val="en-US" w:eastAsia="zh-CN" w:bidi="ar"/>
              </w:rPr>
              <w:t>PD-1</w:t>
            </w:r>
            <w:r>
              <w:rPr>
                <w:rStyle w:val="7"/>
                <w:lang w:val="en-US" w:eastAsia="zh-CN" w:bidi="ar"/>
              </w:rPr>
              <w:t>单抗治疗局部晚期或转移性非小细胞肺癌及鼻咽癌等实体瘤患者的有效性和安全性的</w:t>
            </w:r>
            <w:r>
              <w:rPr>
                <w:rStyle w:val="8"/>
                <w:rFonts w:eastAsia="宋体"/>
                <w:lang w:val="en-US" w:eastAsia="zh-CN" w:bidi="ar"/>
              </w:rPr>
              <w:t>II</w:t>
            </w:r>
            <w:r>
              <w:rPr>
                <w:rStyle w:val="7"/>
                <w:lang w:val="en-US" w:eastAsia="zh-CN" w:bidi="ar"/>
              </w:rPr>
              <w:t>期临床研究</w:t>
            </w:r>
          </w:p>
        </w:tc>
        <w:tc>
          <w:tcPr>
            <w:tcW w:w="1725" w:type="dxa"/>
            <w:tcBorders>
              <w:tl2br w:val="nil"/>
              <w:tr2bl w:val="nil"/>
            </w:tcBorders>
            <w:shd w:val="clear" w:color="auto" w:fill="FFFFFF"/>
            <w:tcMar>
              <w:top w:w="15" w:type="dxa"/>
              <w:left w:w="15" w:type="dxa"/>
              <w:right w:w="15" w:type="dxa"/>
            </w:tcMar>
            <w:vAlign w:val="center"/>
          </w:tcPr>
          <w:p w14:paraId="6FE60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肺癌、鼻咽癌</w:t>
            </w:r>
          </w:p>
        </w:tc>
        <w:tc>
          <w:tcPr>
            <w:tcW w:w="1425" w:type="dxa"/>
            <w:tcBorders>
              <w:tl2br w:val="nil"/>
              <w:tr2bl w:val="nil"/>
            </w:tcBorders>
            <w:shd w:val="clear" w:color="auto" w:fill="FFFFFF"/>
            <w:tcMar>
              <w:top w:w="15" w:type="dxa"/>
              <w:left w:w="15" w:type="dxa"/>
              <w:right w:w="15" w:type="dxa"/>
            </w:tcMar>
            <w:vAlign w:val="center"/>
          </w:tcPr>
          <w:p w14:paraId="43FB49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康复与姑息医学科</w:t>
            </w:r>
          </w:p>
        </w:tc>
        <w:tc>
          <w:tcPr>
            <w:tcW w:w="1780" w:type="dxa"/>
            <w:tcBorders>
              <w:tl2br w:val="nil"/>
              <w:tr2bl w:val="nil"/>
            </w:tcBorders>
            <w:shd w:val="clear" w:color="auto" w:fill="FFFFFF"/>
            <w:tcMar>
              <w:top w:w="15" w:type="dxa"/>
              <w:left w:w="15" w:type="dxa"/>
              <w:right w:w="15" w:type="dxa"/>
            </w:tcMar>
            <w:vAlign w:val="center"/>
          </w:tcPr>
          <w:p w14:paraId="57AB1E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庄莉</w:t>
            </w:r>
          </w:p>
        </w:tc>
        <w:tc>
          <w:tcPr>
            <w:tcW w:w="2263" w:type="dxa"/>
            <w:tcBorders>
              <w:tl2br w:val="nil"/>
              <w:tr2bl w:val="nil"/>
            </w:tcBorders>
            <w:shd w:val="clear" w:color="auto" w:fill="FFFFFF"/>
            <w:tcMar>
              <w:top w:w="15" w:type="dxa"/>
              <w:left w:w="15" w:type="dxa"/>
              <w:right w:w="15" w:type="dxa"/>
            </w:tcMar>
            <w:vAlign w:val="center"/>
          </w:tcPr>
          <w:p w14:paraId="0C960EA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4A38C9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r>
      <w:tr w14:paraId="7BCD8BE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55E0A3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5407" w:type="dxa"/>
            <w:tcBorders>
              <w:tl2br w:val="nil"/>
              <w:tr2bl w:val="nil"/>
            </w:tcBorders>
            <w:shd w:val="clear" w:color="auto" w:fill="FFFFFF"/>
            <w:tcMar>
              <w:top w:w="15" w:type="dxa"/>
              <w:left w:w="15" w:type="dxa"/>
              <w:right w:w="15" w:type="dxa"/>
            </w:tcMar>
            <w:vAlign w:val="center"/>
          </w:tcPr>
          <w:p w14:paraId="6BE54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评价</w:t>
            </w:r>
            <w:r>
              <w:rPr>
                <w:rStyle w:val="8"/>
                <w:rFonts w:eastAsia="宋体"/>
                <w:lang w:val="en-US" w:eastAsia="zh-CN" w:bidi="ar"/>
              </w:rPr>
              <w:t>FDA018</w:t>
            </w:r>
            <w:r>
              <w:rPr>
                <w:rStyle w:val="7"/>
                <w:lang w:val="en-US" w:eastAsia="zh-CN" w:bidi="ar"/>
              </w:rPr>
              <w:t>抗体偶联剂对比研究者选择化疗方案在紫杉类治疗失败的局部晚期、复发或转移性三阴性乳腺癌患者中的随机、对照、开放性、多中心Ⅲ期临床研究</w:t>
            </w:r>
          </w:p>
        </w:tc>
        <w:tc>
          <w:tcPr>
            <w:tcW w:w="1725" w:type="dxa"/>
            <w:tcBorders>
              <w:tl2br w:val="nil"/>
              <w:tr2bl w:val="nil"/>
            </w:tcBorders>
            <w:shd w:val="clear" w:color="auto" w:fill="FFFFFF"/>
            <w:tcMar>
              <w:top w:w="15" w:type="dxa"/>
              <w:left w:w="15" w:type="dxa"/>
              <w:right w:w="15" w:type="dxa"/>
            </w:tcMar>
            <w:vAlign w:val="center"/>
          </w:tcPr>
          <w:p w14:paraId="664C5D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紫杉类治疗失败的局部晚期、复发或转移性三阴性乳腺癌患者</w:t>
            </w:r>
          </w:p>
        </w:tc>
        <w:tc>
          <w:tcPr>
            <w:tcW w:w="1425" w:type="dxa"/>
            <w:tcBorders>
              <w:tl2br w:val="nil"/>
              <w:tr2bl w:val="nil"/>
            </w:tcBorders>
            <w:shd w:val="clear" w:color="auto" w:fill="FFFFFF"/>
            <w:tcMar>
              <w:top w:w="15" w:type="dxa"/>
              <w:left w:w="15" w:type="dxa"/>
              <w:right w:w="15" w:type="dxa"/>
            </w:tcMar>
            <w:vAlign w:val="center"/>
          </w:tcPr>
          <w:p w14:paraId="10A74F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2C71E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杨庄青</w:t>
            </w:r>
          </w:p>
        </w:tc>
        <w:tc>
          <w:tcPr>
            <w:tcW w:w="2263" w:type="dxa"/>
            <w:tcBorders>
              <w:tl2br w:val="nil"/>
              <w:tr2bl w:val="nil"/>
            </w:tcBorders>
            <w:shd w:val="clear" w:color="auto" w:fill="FFFFFF"/>
            <w:tcMar>
              <w:top w:w="15" w:type="dxa"/>
              <w:left w:w="15" w:type="dxa"/>
              <w:right w:w="15" w:type="dxa"/>
            </w:tcMar>
            <w:vAlign w:val="center"/>
          </w:tcPr>
          <w:p w14:paraId="72766E9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02806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8193D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561" w:type="dxa"/>
            <w:tcBorders>
              <w:tl2br w:val="nil"/>
              <w:tr2bl w:val="nil"/>
            </w:tcBorders>
            <w:shd w:val="clear" w:color="auto" w:fill="FFFFFF"/>
            <w:noWrap/>
            <w:tcMar>
              <w:top w:w="15" w:type="dxa"/>
              <w:left w:w="15" w:type="dxa"/>
              <w:right w:w="15" w:type="dxa"/>
            </w:tcMar>
            <w:vAlign w:val="center"/>
          </w:tcPr>
          <w:p w14:paraId="00B858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5407" w:type="dxa"/>
            <w:tcBorders>
              <w:tl2br w:val="nil"/>
              <w:tr2bl w:val="nil"/>
            </w:tcBorders>
            <w:shd w:val="clear" w:color="auto" w:fill="FFFFFF"/>
            <w:tcMar>
              <w:top w:w="15" w:type="dxa"/>
              <w:left w:w="15" w:type="dxa"/>
              <w:right w:w="15" w:type="dxa"/>
            </w:tcMar>
            <w:vAlign w:val="center"/>
          </w:tcPr>
          <w:p w14:paraId="19C80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8"/>
                <w:rFonts w:eastAsia="宋体"/>
                <w:lang w:val="en-US" w:eastAsia="zh-CN" w:bidi="ar"/>
              </w:rPr>
              <w:t>9MW2821</w:t>
            </w:r>
            <w:r>
              <w:rPr>
                <w:rStyle w:val="7"/>
                <w:lang w:val="en-US" w:eastAsia="zh-CN" w:bidi="ar"/>
              </w:rPr>
              <w:t>对比研究者选择的化疗治疗含铂化疗失败的复发或转移性宫颈癌的随机、开放、对照、多中心</w:t>
            </w:r>
            <w:r>
              <w:rPr>
                <w:rStyle w:val="8"/>
                <w:rFonts w:eastAsia="宋体"/>
                <w:lang w:val="en-US" w:eastAsia="zh-CN" w:bidi="ar"/>
              </w:rPr>
              <w:t>III</w:t>
            </w:r>
            <w:r>
              <w:rPr>
                <w:rStyle w:val="7"/>
                <w:lang w:val="en-US" w:eastAsia="zh-CN" w:bidi="ar"/>
              </w:rPr>
              <w:t>期临床研究</w:t>
            </w:r>
          </w:p>
        </w:tc>
        <w:tc>
          <w:tcPr>
            <w:tcW w:w="1725" w:type="dxa"/>
            <w:tcBorders>
              <w:tl2br w:val="nil"/>
              <w:tr2bl w:val="nil"/>
            </w:tcBorders>
            <w:shd w:val="clear" w:color="auto" w:fill="FFFFFF"/>
            <w:tcMar>
              <w:top w:w="15" w:type="dxa"/>
              <w:left w:w="15" w:type="dxa"/>
              <w:right w:w="15" w:type="dxa"/>
            </w:tcMar>
            <w:vAlign w:val="center"/>
          </w:tcPr>
          <w:p w14:paraId="79DA2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宫颈癌</w:t>
            </w:r>
          </w:p>
        </w:tc>
        <w:tc>
          <w:tcPr>
            <w:tcW w:w="1425" w:type="dxa"/>
            <w:tcBorders>
              <w:tl2br w:val="nil"/>
              <w:tr2bl w:val="nil"/>
            </w:tcBorders>
            <w:shd w:val="clear" w:color="auto" w:fill="FFFFFF"/>
            <w:tcMar>
              <w:top w:w="15" w:type="dxa"/>
              <w:left w:w="15" w:type="dxa"/>
              <w:right w:w="15" w:type="dxa"/>
            </w:tcMar>
            <w:vAlign w:val="center"/>
          </w:tcPr>
          <w:p w14:paraId="30B34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1491F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张红平</w:t>
            </w:r>
          </w:p>
        </w:tc>
        <w:tc>
          <w:tcPr>
            <w:tcW w:w="2263" w:type="dxa"/>
            <w:tcBorders>
              <w:tl2br w:val="nil"/>
              <w:tr2bl w:val="nil"/>
            </w:tcBorders>
            <w:shd w:val="clear" w:color="auto" w:fill="FFFFFF"/>
            <w:tcMar>
              <w:top w:w="15" w:type="dxa"/>
              <w:left w:w="15" w:type="dxa"/>
              <w:right w:w="15" w:type="dxa"/>
            </w:tcMar>
            <w:vAlign w:val="center"/>
          </w:tcPr>
          <w:p w14:paraId="3A26F81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35856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A10CC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4D74FE6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5407" w:type="dxa"/>
            <w:tcBorders>
              <w:tl2br w:val="nil"/>
              <w:tr2bl w:val="nil"/>
            </w:tcBorders>
            <w:shd w:val="clear" w:color="auto" w:fill="FFFFFF"/>
            <w:tcMar>
              <w:top w:w="15" w:type="dxa"/>
              <w:left w:w="15" w:type="dxa"/>
              <w:right w:w="15" w:type="dxa"/>
            </w:tcMar>
            <w:vAlign w:val="center"/>
          </w:tcPr>
          <w:p w14:paraId="1485B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8"/>
                <w:rFonts w:eastAsia="宋体"/>
                <w:lang w:val="en-US" w:eastAsia="zh-CN" w:bidi="ar"/>
              </w:rPr>
              <w:t>FDA022-BB05</w:t>
            </w:r>
            <w:r>
              <w:rPr>
                <w:rStyle w:val="7"/>
                <w:lang w:val="en-US" w:eastAsia="zh-CN" w:bidi="ar"/>
              </w:rPr>
              <w:t>在晚期实体瘤患者中的有效性、安全性、耐受性和药代动力学的</w:t>
            </w:r>
            <w:r>
              <w:rPr>
                <w:rStyle w:val="8"/>
                <w:rFonts w:eastAsia="宋体"/>
                <w:lang w:val="en-US" w:eastAsia="zh-CN" w:bidi="ar"/>
              </w:rPr>
              <w:t>II</w:t>
            </w:r>
            <w:r>
              <w:rPr>
                <w:rStyle w:val="7"/>
                <w:lang w:val="en-US" w:eastAsia="zh-CN" w:bidi="ar"/>
              </w:rPr>
              <w:t>期临床研究</w:t>
            </w:r>
          </w:p>
        </w:tc>
        <w:tc>
          <w:tcPr>
            <w:tcW w:w="1725" w:type="dxa"/>
            <w:tcBorders>
              <w:tl2br w:val="nil"/>
              <w:tr2bl w:val="nil"/>
            </w:tcBorders>
            <w:shd w:val="clear" w:color="auto" w:fill="FFFFFF"/>
            <w:tcMar>
              <w:top w:w="15" w:type="dxa"/>
              <w:left w:w="15" w:type="dxa"/>
              <w:right w:w="15" w:type="dxa"/>
            </w:tcMar>
            <w:vAlign w:val="center"/>
          </w:tcPr>
          <w:p w14:paraId="6F5EA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实体瘤</w:t>
            </w:r>
          </w:p>
        </w:tc>
        <w:tc>
          <w:tcPr>
            <w:tcW w:w="1425" w:type="dxa"/>
            <w:tcBorders>
              <w:tl2br w:val="nil"/>
              <w:tr2bl w:val="nil"/>
            </w:tcBorders>
            <w:shd w:val="clear" w:color="auto" w:fill="FFFFFF"/>
            <w:tcMar>
              <w:top w:w="15" w:type="dxa"/>
              <w:left w:w="15" w:type="dxa"/>
              <w:right w:w="15" w:type="dxa"/>
            </w:tcMar>
            <w:vAlign w:val="center"/>
          </w:tcPr>
          <w:p w14:paraId="45021F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66880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杨宏英</w:t>
            </w:r>
          </w:p>
        </w:tc>
        <w:tc>
          <w:tcPr>
            <w:tcW w:w="2263" w:type="dxa"/>
            <w:tcBorders>
              <w:tl2br w:val="nil"/>
              <w:tr2bl w:val="nil"/>
            </w:tcBorders>
            <w:shd w:val="clear" w:color="auto" w:fill="FFFFFF"/>
            <w:tcMar>
              <w:top w:w="15" w:type="dxa"/>
              <w:left w:w="15" w:type="dxa"/>
              <w:right w:w="15" w:type="dxa"/>
            </w:tcMar>
            <w:vAlign w:val="center"/>
          </w:tcPr>
          <w:p w14:paraId="7DC4B03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702B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BDBD9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CA1ACC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5407" w:type="dxa"/>
            <w:tcBorders>
              <w:tl2br w:val="nil"/>
              <w:tr2bl w:val="nil"/>
            </w:tcBorders>
            <w:shd w:val="clear" w:color="auto" w:fill="FFFFFF"/>
            <w:tcMar>
              <w:top w:w="15" w:type="dxa"/>
              <w:left w:w="15" w:type="dxa"/>
              <w:right w:w="15" w:type="dxa"/>
            </w:tcMar>
            <w:vAlign w:val="center"/>
          </w:tcPr>
          <w:p w14:paraId="14E53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温敏纳米凝胶栓塞剂（显影型）应用于肝细胞癌</w:t>
            </w:r>
            <w:r>
              <w:rPr>
                <w:rStyle w:val="8"/>
                <w:rFonts w:eastAsia="宋体"/>
                <w:lang w:val="en-US" w:eastAsia="zh-CN" w:bidi="ar"/>
              </w:rPr>
              <w:t>TACE</w:t>
            </w:r>
            <w:r>
              <w:rPr>
                <w:rStyle w:val="7"/>
                <w:lang w:val="en-US" w:eastAsia="zh-CN" w:bidi="ar"/>
              </w:rPr>
              <w:t>治疗的安全性和有效性的前瞻性、多中心、随机对照、非劣效临床试验</w:t>
            </w:r>
          </w:p>
        </w:tc>
        <w:tc>
          <w:tcPr>
            <w:tcW w:w="1725" w:type="dxa"/>
            <w:tcBorders>
              <w:tl2br w:val="nil"/>
              <w:tr2bl w:val="nil"/>
            </w:tcBorders>
            <w:shd w:val="clear" w:color="auto" w:fill="FFFFFF"/>
            <w:tcMar>
              <w:top w:w="15" w:type="dxa"/>
              <w:left w:w="15" w:type="dxa"/>
              <w:right w:w="15" w:type="dxa"/>
            </w:tcMar>
            <w:vAlign w:val="center"/>
          </w:tcPr>
          <w:p w14:paraId="6CD2A1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肝细胞癌</w:t>
            </w:r>
          </w:p>
        </w:tc>
        <w:tc>
          <w:tcPr>
            <w:tcW w:w="1425" w:type="dxa"/>
            <w:tcBorders>
              <w:tl2br w:val="nil"/>
              <w:tr2bl w:val="nil"/>
            </w:tcBorders>
            <w:shd w:val="clear" w:color="auto" w:fill="FFFFFF"/>
            <w:tcMar>
              <w:top w:w="15" w:type="dxa"/>
              <w:left w:w="15" w:type="dxa"/>
              <w:right w:w="15" w:type="dxa"/>
            </w:tcMar>
            <w:vAlign w:val="center"/>
          </w:tcPr>
          <w:p w14:paraId="074BF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微创介入医学科</w:t>
            </w:r>
          </w:p>
        </w:tc>
        <w:tc>
          <w:tcPr>
            <w:tcW w:w="1780" w:type="dxa"/>
            <w:tcBorders>
              <w:tl2br w:val="nil"/>
              <w:tr2bl w:val="nil"/>
            </w:tcBorders>
            <w:shd w:val="clear" w:color="auto" w:fill="FFFFFF"/>
            <w:tcMar>
              <w:top w:w="15" w:type="dxa"/>
              <w:left w:w="15" w:type="dxa"/>
              <w:right w:w="15" w:type="dxa"/>
            </w:tcMar>
            <w:vAlign w:val="center"/>
          </w:tcPr>
          <w:p w14:paraId="6D63F6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黄明</w:t>
            </w:r>
          </w:p>
        </w:tc>
        <w:tc>
          <w:tcPr>
            <w:tcW w:w="2263" w:type="dxa"/>
            <w:tcBorders>
              <w:tl2br w:val="nil"/>
              <w:tr2bl w:val="nil"/>
            </w:tcBorders>
            <w:shd w:val="clear" w:color="auto" w:fill="FFFFFF"/>
            <w:tcMar>
              <w:top w:w="15" w:type="dxa"/>
              <w:left w:w="15" w:type="dxa"/>
              <w:right w:w="15" w:type="dxa"/>
            </w:tcMar>
            <w:vAlign w:val="center"/>
          </w:tcPr>
          <w:p w14:paraId="06FF961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184BB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20FDC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820BAB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5407" w:type="dxa"/>
            <w:tcBorders>
              <w:tl2br w:val="nil"/>
              <w:tr2bl w:val="nil"/>
            </w:tcBorders>
            <w:shd w:val="clear" w:color="auto" w:fill="FFFFFF"/>
            <w:tcMar>
              <w:top w:w="15" w:type="dxa"/>
              <w:left w:w="15" w:type="dxa"/>
              <w:right w:w="15" w:type="dxa"/>
            </w:tcMar>
            <w:vAlign w:val="center"/>
          </w:tcPr>
          <w:p w14:paraId="3292A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8"/>
                <w:rFonts w:eastAsia="宋体"/>
                <w:lang w:val="en-US" w:eastAsia="zh-CN" w:bidi="ar"/>
              </w:rPr>
              <w:t>AK112</w:t>
            </w:r>
            <w:r>
              <w:rPr>
                <w:rStyle w:val="7"/>
                <w:lang w:val="en-US" w:eastAsia="zh-CN" w:bidi="ar"/>
              </w:rPr>
              <w:t>联合</w:t>
            </w:r>
            <w:r>
              <w:rPr>
                <w:rStyle w:val="8"/>
                <w:rFonts w:eastAsia="宋体"/>
                <w:lang w:val="en-US" w:eastAsia="zh-CN" w:bidi="ar"/>
              </w:rPr>
              <w:t>AK117</w:t>
            </w:r>
            <w:r>
              <w:rPr>
                <w:rStyle w:val="7"/>
                <w:lang w:val="en-US" w:eastAsia="zh-CN" w:bidi="ar"/>
              </w:rPr>
              <w:t>对比帕博利珠单抗一线治疗</w:t>
            </w:r>
            <w:r>
              <w:rPr>
                <w:rStyle w:val="8"/>
                <w:rFonts w:eastAsia="宋体"/>
                <w:lang w:val="en-US" w:eastAsia="zh-CN" w:bidi="ar"/>
              </w:rPr>
              <w:t>PD-L1</w:t>
            </w:r>
            <w:r>
              <w:rPr>
                <w:rStyle w:val="7"/>
                <w:lang w:val="en-US" w:eastAsia="zh-CN" w:bidi="ar"/>
              </w:rPr>
              <w:t>表达阳性复发</w:t>
            </w:r>
            <w:r>
              <w:rPr>
                <w:rStyle w:val="8"/>
                <w:rFonts w:eastAsia="宋体"/>
                <w:lang w:val="en-US" w:eastAsia="zh-CN" w:bidi="ar"/>
              </w:rPr>
              <w:t>/</w:t>
            </w:r>
            <w:r>
              <w:rPr>
                <w:rStyle w:val="7"/>
                <w:lang w:val="en-US" w:eastAsia="zh-CN" w:bidi="ar"/>
              </w:rPr>
              <w:t>转移性头颈部鳞状细胞癌的随机、对照、多中心</w:t>
            </w:r>
            <w:r>
              <w:rPr>
                <w:rStyle w:val="9"/>
                <w:lang w:val="en-US" w:eastAsia="zh-CN" w:bidi="ar"/>
              </w:rPr>
              <w:t>Ⅲ</w:t>
            </w:r>
            <w:r>
              <w:rPr>
                <w:rStyle w:val="7"/>
                <w:lang w:val="en-US" w:eastAsia="zh-CN" w:bidi="ar"/>
              </w:rPr>
              <w:t>期临床研究</w:t>
            </w:r>
          </w:p>
        </w:tc>
        <w:tc>
          <w:tcPr>
            <w:tcW w:w="1725" w:type="dxa"/>
            <w:tcBorders>
              <w:tl2br w:val="nil"/>
              <w:tr2bl w:val="nil"/>
            </w:tcBorders>
            <w:shd w:val="clear" w:color="auto" w:fill="FFFFFF"/>
            <w:tcMar>
              <w:top w:w="15" w:type="dxa"/>
              <w:left w:w="15" w:type="dxa"/>
              <w:right w:w="15" w:type="dxa"/>
            </w:tcMar>
            <w:vAlign w:val="center"/>
          </w:tcPr>
          <w:p w14:paraId="5B3166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19"/>
                <w:szCs w:val="19"/>
                <w:u w:val="none"/>
                <w:lang w:val="en-US" w:eastAsia="zh-CN" w:bidi="ar"/>
              </w:rPr>
              <w:t>PD-L1</w:t>
            </w:r>
            <w:r>
              <w:rPr>
                <w:rFonts w:hint="eastAsia" w:ascii="宋体" w:hAnsi="宋体" w:eastAsia="宋体" w:cs="宋体"/>
                <w:i w:val="0"/>
                <w:iCs w:val="0"/>
                <w:color w:val="000000"/>
                <w:kern w:val="0"/>
                <w:sz w:val="19"/>
                <w:szCs w:val="19"/>
                <w:u w:val="none"/>
                <w:lang w:val="en-US" w:eastAsia="zh-CN" w:bidi="ar"/>
              </w:rPr>
              <w:t>表达阳性复发</w:t>
            </w:r>
            <w:r>
              <w:rPr>
                <w:rFonts w:hint="default" w:ascii="Arial" w:hAnsi="Arial" w:eastAsia="宋体" w:cs="Arial"/>
                <w:i w:val="0"/>
                <w:iCs w:val="0"/>
                <w:color w:val="000000"/>
                <w:kern w:val="0"/>
                <w:sz w:val="19"/>
                <w:szCs w:val="19"/>
                <w:u w:val="none"/>
                <w:lang w:val="en-US" w:eastAsia="zh-CN" w:bidi="ar"/>
              </w:rPr>
              <w:t>/</w:t>
            </w:r>
            <w:r>
              <w:rPr>
                <w:rFonts w:hint="eastAsia" w:ascii="宋体" w:hAnsi="宋体" w:eastAsia="宋体" w:cs="宋体"/>
                <w:i w:val="0"/>
                <w:iCs w:val="0"/>
                <w:color w:val="000000"/>
                <w:kern w:val="0"/>
                <w:sz w:val="19"/>
                <w:szCs w:val="19"/>
                <w:u w:val="none"/>
                <w:lang w:val="en-US" w:eastAsia="zh-CN" w:bidi="ar"/>
              </w:rPr>
              <w:t>转移性头颈部鳞状细胞癌</w:t>
            </w:r>
          </w:p>
        </w:tc>
        <w:tc>
          <w:tcPr>
            <w:tcW w:w="1425" w:type="dxa"/>
            <w:tcBorders>
              <w:tl2br w:val="nil"/>
              <w:tr2bl w:val="nil"/>
            </w:tcBorders>
            <w:shd w:val="clear" w:color="auto" w:fill="FFFFFF"/>
            <w:tcMar>
              <w:top w:w="15" w:type="dxa"/>
              <w:left w:w="15" w:type="dxa"/>
              <w:right w:w="15" w:type="dxa"/>
            </w:tcMar>
            <w:vAlign w:val="center"/>
          </w:tcPr>
          <w:p w14:paraId="7F91F7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头颈外一科</w:t>
            </w:r>
          </w:p>
        </w:tc>
        <w:tc>
          <w:tcPr>
            <w:tcW w:w="1780" w:type="dxa"/>
            <w:tcBorders>
              <w:tl2br w:val="nil"/>
              <w:tr2bl w:val="nil"/>
            </w:tcBorders>
            <w:shd w:val="clear" w:color="auto" w:fill="FFFFFF"/>
            <w:tcMar>
              <w:top w:w="15" w:type="dxa"/>
              <w:left w:w="15" w:type="dxa"/>
              <w:right w:w="15" w:type="dxa"/>
            </w:tcMar>
            <w:vAlign w:val="center"/>
          </w:tcPr>
          <w:p w14:paraId="5BCF7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李晓江</w:t>
            </w:r>
          </w:p>
        </w:tc>
        <w:tc>
          <w:tcPr>
            <w:tcW w:w="2263" w:type="dxa"/>
            <w:tcBorders>
              <w:tl2br w:val="nil"/>
              <w:tr2bl w:val="nil"/>
            </w:tcBorders>
            <w:shd w:val="clear" w:color="auto" w:fill="FFFFFF"/>
            <w:tcMar>
              <w:top w:w="15" w:type="dxa"/>
              <w:left w:w="15" w:type="dxa"/>
              <w:right w:w="15" w:type="dxa"/>
            </w:tcMar>
            <w:vAlign w:val="center"/>
          </w:tcPr>
          <w:p w14:paraId="5EFC177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3FFD7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973F3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48F90F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407" w:type="dxa"/>
            <w:tcBorders>
              <w:tl2br w:val="nil"/>
              <w:tr2bl w:val="nil"/>
            </w:tcBorders>
            <w:shd w:val="clear" w:color="auto" w:fill="FFFFFF"/>
            <w:tcMar>
              <w:top w:w="15" w:type="dxa"/>
              <w:left w:w="15" w:type="dxa"/>
              <w:right w:w="15" w:type="dxa"/>
            </w:tcMar>
            <w:vAlign w:val="center"/>
          </w:tcPr>
          <w:p w14:paraId="72FB9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注射用</w:t>
            </w:r>
            <w:r>
              <w:rPr>
                <w:rStyle w:val="8"/>
                <w:rFonts w:eastAsia="宋体"/>
                <w:lang w:val="en-US" w:eastAsia="zh-CN" w:bidi="ar"/>
              </w:rPr>
              <w:t>SHR-A2102</w:t>
            </w:r>
            <w:r>
              <w:rPr>
                <w:rStyle w:val="7"/>
                <w:lang w:val="en-US" w:eastAsia="zh-CN" w:bidi="ar"/>
              </w:rPr>
              <w:t>联合阿得贝利单抗联合或者不联合其他抗肿瘤 治疗在局部晚期或转移性非小细胞肺癌受试者中的安全性、耐受性及有效性的多中心、开放</w:t>
            </w:r>
            <w:r>
              <w:rPr>
                <w:rStyle w:val="9"/>
                <w:lang w:val="en-US" w:eastAsia="zh-CN" w:bidi="ar"/>
              </w:rPr>
              <w:t>Ⅰ</w:t>
            </w:r>
            <w:r>
              <w:rPr>
                <w:rStyle w:val="8"/>
                <w:rFonts w:eastAsia="宋体"/>
                <w:lang w:val="en-US" w:eastAsia="zh-CN" w:bidi="ar"/>
              </w:rPr>
              <w:t>B/</w:t>
            </w:r>
            <w:r>
              <w:rPr>
                <w:rStyle w:val="9"/>
                <w:lang w:val="en-US" w:eastAsia="zh-CN" w:bidi="ar"/>
              </w:rPr>
              <w:t>Ⅱ</w:t>
            </w:r>
            <w:r>
              <w:rPr>
                <w:rStyle w:val="7"/>
                <w:lang w:val="en-US" w:eastAsia="zh-CN" w:bidi="ar"/>
              </w:rPr>
              <w:t>期临床研究</w:t>
            </w:r>
          </w:p>
        </w:tc>
        <w:tc>
          <w:tcPr>
            <w:tcW w:w="1725" w:type="dxa"/>
            <w:tcBorders>
              <w:tl2br w:val="nil"/>
              <w:tr2bl w:val="nil"/>
            </w:tcBorders>
            <w:shd w:val="clear" w:color="auto" w:fill="FFFFFF"/>
            <w:tcMar>
              <w:top w:w="15" w:type="dxa"/>
              <w:left w:w="15" w:type="dxa"/>
              <w:right w:w="15" w:type="dxa"/>
            </w:tcMar>
            <w:vAlign w:val="center"/>
          </w:tcPr>
          <w:p w14:paraId="01B94F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2CCC9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542E0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9"/>
                <w:szCs w:val="19"/>
                <w:u w:val="none"/>
                <w:lang w:val="en-US" w:eastAsia="zh-CN" w:bidi="ar"/>
              </w:rPr>
              <w:t>杨润祥</w:t>
            </w:r>
          </w:p>
        </w:tc>
        <w:tc>
          <w:tcPr>
            <w:tcW w:w="2263" w:type="dxa"/>
            <w:tcBorders>
              <w:tl2br w:val="nil"/>
              <w:tr2bl w:val="nil"/>
            </w:tcBorders>
            <w:shd w:val="clear" w:color="auto" w:fill="FFFFFF"/>
            <w:tcMar>
              <w:top w:w="15" w:type="dxa"/>
              <w:left w:w="15" w:type="dxa"/>
              <w:right w:w="15" w:type="dxa"/>
            </w:tcMar>
            <w:vAlign w:val="center"/>
          </w:tcPr>
          <w:p w14:paraId="6E2E7B3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9AAA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B1FE1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03294F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5407" w:type="dxa"/>
            <w:tcBorders>
              <w:tl2br w:val="nil"/>
              <w:tr2bl w:val="nil"/>
            </w:tcBorders>
            <w:shd w:val="clear" w:color="auto" w:fill="FFFFFF"/>
            <w:tcMar>
              <w:top w:w="15" w:type="dxa"/>
              <w:left w:w="15" w:type="dxa"/>
              <w:right w:w="15" w:type="dxa"/>
            </w:tcMar>
            <w:vAlign w:val="center"/>
          </w:tcPr>
          <w:p w14:paraId="1302F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10"/>
                <w:lang w:val="en-US" w:eastAsia="zh-CN" w:bidi="ar"/>
              </w:rPr>
              <w:t>盐酸希美替尼片对照研究者选择化疗治疗晚期或转移性食管鳞癌的随机、开放、阳性药对照、多中心</w:t>
            </w:r>
            <w:r>
              <w:rPr>
                <w:rStyle w:val="11"/>
                <w:lang w:val="en-US" w:eastAsia="zh-CN" w:bidi="ar"/>
              </w:rPr>
              <w:t>Ⅲ</w:t>
            </w:r>
            <w:r>
              <w:rPr>
                <w:rStyle w:val="10"/>
                <w:lang w:val="en-US" w:eastAsia="zh-CN" w:bidi="ar"/>
              </w:rPr>
              <w:t>期临床研究</w:t>
            </w:r>
          </w:p>
        </w:tc>
        <w:tc>
          <w:tcPr>
            <w:tcW w:w="1725" w:type="dxa"/>
            <w:tcBorders>
              <w:tl2br w:val="nil"/>
              <w:tr2bl w:val="nil"/>
            </w:tcBorders>
            <w:shd w:val="clear" w:color="auto" w:fill="FFFFFF"/>
            <w:tcMar>
              <w:top w:w="15" w:type="dxa"/>
              <w:left w:w="15" w:type="dxa"/>
              <w:right w:w="15" w:type="dxa"/>
            </w:tcMar>
            <w:vAlign w:val="center"/>
          </w:tcPr>
          <w:p w14:paraId="27885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2A506B"/>
                <w:kern w:val="0"/>
                <w:sz w:val="19"/>
                <w:szCs w:val="19"/>
                <w:u w:val="none"/>
                <w:lang w:val="en-US" w:eastAsia="zh-CN" w:bidi="ar"/>
              </w:rPr>
              <w:t>晚期或转移性食管鳞癌</w:t>
            </w:r>
          </w:p>
        </w:tc>
        <w:tc>
          <w:tcPr>
            <w:tcW w:w="1425" w:type="dxa"/>
            <w:tcBorders>
              <w:tl2br w:val="nil"/>
              <w:tr2bl w:val="nil"/>
            </w:tcBorders>
            <w:shd w:val="clear" w:color="auto" w:fill="FFFFFF"/>
            <w:tcMar>
              <w:top w:w="15" w:type="dxa"/>
              <w:left w:w="15" w:type="dxa"/>
              <w:right w:w="15" w:type="dxa"/>
            </w:tcMar>
            <w:vAlign w:val="center"/>
          </w:tcPr>
          <w:p w14:paraId="7EE50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6AC1E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2A506B"/>
                <w:kern w:val="0"/>
                <w:sz w:val="19"/>
                <w:szCs w:val="19"/>
                <w:u w:val="none"/>
                <w:lang w:val="en-US" w:eastAsia="zh-CN" w:bidi="ar"/>
              </w:rPr>
              <w:t>谢琳</w:t>
            </w:r>
          </w:p>
        </w:tc>
        <w:tc>
          <w:tcPr>
            <w:tcW w:w="2263" w:type="dxa"/>
            <w:tcBorders>
              <w:tl2br w:val="nil"/>
              <w:tr2bl w:val="nil"/>
            </w:tcBorders>
            <w:shd w:val="clear" w:color="auto" w:fill="FFFFFF"/>
            <w:tcMar>
              <w:top w:w="15" w:type="dxa"/>
              <w:left w:w="15" w:type="dxa"/>
              <w:right w:w="15" w:type="dxa"/>
            </w:tcMar>
            <w:vAlign w:val="center"/>
          </w:tcPr>
          <w:p w14:paraId="182F0A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29BD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89F7B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36E619D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5407" w:type="dxa"/>
            <w:tcBorders>
              <w:tl2br w:val="nil"/>
              <w:tr2bl w:val="nil"/>
            </w:tcBorders>
            <w:shd w:val="clear" w:color="auto" w:fill="FFFFFF"/>
            <w:tcMar>
              <w:top w:w="15" w:type="dxa"/>
              <w:left w:w="15" w:type="dxa"/>
              <w:right w:w="15" w:type="dxa"/>
            </w:tcMar>
            <w:vAlign w:val="center"/>
          </w:tcPr>
          <w:p w14:paraId="3FE32E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评价注射用BL-M07D1在局部晚期或转移性HER2阳性/低表达泌尿系统和消化道系统肿瘤等多种实体瘤患者中的安全性和有效性的Ib/II 期临床研究</w:t>
            </w:r>
          </w:p>
        </w:tc>
        <w:tc>
          <w:tcPr>
            <w:tcW w:w="1725" w:type="dxa"/>
            <w:tcBorders>
              <w:tl2br w:val="nil"/>
              <w:tr2bl w:val="nil"/>
            </w:tcBorders>
            <w:shd w:val="clear" w:color="auto" w:fill="FFFFFF"/>
            <w:tcMar>
              <w:top w:w="15" w:type="dxa"/>
              <w:left w:w="15" w:type="dxa"/>
              <w:right w:w="15" w:type="dxa"/>
            </w:tcMar>
            <w:vAlign w:val="center"/>
          </w:tcPr>
          <w:p w14:paraId="394A1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晚期或转移性HER2阳性/低表达泌尿系统和消化道系统肿瘤等多种实体瘤</w:t>
            </w:r>
          </w:p>
        </w:tc>
        <w:tc>
          <w:tcPr>
            <w:tcW w:w="1425" w:type="dxa"/>
            <w:tcBorders>
              <w:tl2br w:val="nil"/>
              <w:tr2bl w:val="nil"/>
            </w:tcBorders>
            <w:shd w:val="clear" w:color="auto" w:fill="FFFFFF"/>
            <w:tcMar>
              <w:top w:w="15" w:type="dxa"/>
              <w:left w:w="15" w:type="dxa"/>
              <w:right w:w="15" w:type="dxa"/>
            </w:tcMar>
            <w:vAlign w:val="center"/>
          </w:tcPr>
          <w:p w14:paraId="67A0A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29079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2A506B"/>
                <w:kern w:val="0"/>
                <w:sz w:val="19"/>
                <w:szCs w:val="19"/>
                <w:u w:val="none"/>
                <w:lang w:val="en-US" w:eastAsia="zh-CN" w:bidi="ar"/>
              </w:rPr>
              <w:t>谢琳</w:t>
            </w:r>
          </w:p>
        </w:tc>
        <w:tc>
          <w:tcPr>
            <w:tcW w:w="2263" w:type="dxa"/>
            <w:tcBorders>
              <w:tl2br w:val="nil"/>
              <w:tr2bl w:val="nil"/>
            </w:tcBorders>
            <w:shd w:val="clear" w:color="auto" w:fill="FFFFFF"/>
            <w:tcMar>
              <w:top w:w="15" w:type="dxa"/>
              <w:left w:w="15" w:type="dxa"/>
              <w:right w:w="15" w:type="dxa"/>
            </w:tcMar>
            <w:vAlign w:val="center"/>
          </w:tcPr>
          <w:p w14:paraId="617427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2B276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bookmarkEnd w:id="0"/>
    </w:tbl>
    <w:p w14:paraId="569A4E8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DI5NWI5MmEyZTI1MGRmZjFmZjVmYzQ1NjU3OGUifQ=="/>
  </w:docVars>
  <w:rsids>
    <w:rsidRoot w:val="0D074BC4"/>
    <w:rsid w:val="01D44EC4"/>
    <w:rsid w:val="02CF3865"/>
    <w:rsid w:val="041D47D5"/>
    <w:rsid w:val="05DD39A8"/>
    <w:rsid w:val="07001F9D"/>
    <w:rsid w:val="071C7E25"/>
    <w:rsid w:val="07AC659B"/>
    <w:rsid w:val="09645201"/>
    <w:rsid w:val="099E1F14"/>
    <w:rsid w:val="09A45050"/>
    <w:rsid w:val="0A067AB9"/>
    <w:rsid w:val="0D074BC4"/>
    <w:rsid w:val="0DF30354"/>
    <w:rsid w:val="0E7B6CC7"/>
    <w:rsid w:val="0ECD351A"/>
    <w:rsid w:val="10D177B4"/>
    <w:rsid w:val="13D1738A"/>
    <w:rsid w:val="16585B40"/>
    <w:rsid w:val="1A9C249F"/>
    <w:rsid w:val="1B50328A"/>
    <w:rsid w:val="1B7C5E2D"/>
    <w:rsid w:val="1B8F3DB2"/>
    <w:rsid w:val="1C6B037B"/>
    <w:rsid w:val="1CE7377A"/>
    <w:rsid w:val="1E8F7C25"/>
    <w:rsid w:val="1FD14BA0"/>
    <w:rsid w:val="1FE30229"/>
    <w:rsid w:val="217952E8"/>
    <w:rsid w:val="25526E58"/>
    <w:rsid w:val="288051AE"/>
    <w:rsid w:val="2A6B1546"/>
    <w:rsid w:val="2AF27EBA"/>
    <w:rsid w:val="2E4C78E1"/>
    <w:rsid w:val="32195D2C"/>
    <w:rsid w:val="32EE1E4E"/>
    <w:rsid w:val="340824FC"/>
    <w:rsid w:val="3D163594"/>
    <w:rsid w:val="3D804EB1"/>
    <w:rsid w:val="4024421A"/>
    <w:rsid w:val="408C4719"/>
    <w:rsid w:val="427079B3"/>
    <w:rsid w:val="42E83C24"/>
    <w:rsid w:val="45F75F2C"/>
    <w:rsid w:val="46A50864"/>
    <w:rsid w:val="471C23A1"/>
    <w:rsid w:val="47A125F4"/>
    <w:rsid w:val="47DB3D58"/>
    <w:rsid w:val="4C122318"/>
    <w:rsid w:val="4EF91FDA"/>
    <w:rsid w:val="50025BF9"/>
    <w:rsid w:val="51007ABC"/>
    <w:rsid w:val="52120376"/>
    <w:rsid w:val="525A07D5"/>
    <w:rsid w:val="52BE4E10"/>
    <w:rsid w:val="52FC4B82"/>
    <w:rsid w:val="549F7B12"/>
    <w:rsid w:val="5740323E"/>
    <w:rsid w:val="584D65AC"/>
    <w:rsid w:val="58D345D7"/>
    <w:rsid w:val="5A8475DB"/>
    <w:rsid w:val="5A9D4E9D"/>
    <w:rsid w:val="5B0A443C"/>
    <w:rsid w:val="5BBF5CAD"/>
    <w:rsid w:val="5CD86660"/>
    <w:rsid w:val="5D8F6D1E"/>
    <w:rsid w:val="5F467AE9"/>
    <w:rsid w:val="61BF394A"/>
    <w:rsid w:val="64136446"/>
    <w:rsid w:val="665B6338"/>
    <w:rsid w:val="67A535E2"/>
    <w:rsid w:val="67A6201F"/>
    <w:rsid w:val="6BED548C"/>
    <w:rsid w:val="6C746C11"/>
    <w:rsid w:val="6D0A63C2"/>
    <w:rsid w:val="6F0230C8"/>
    <w:rsid w:val="6F70721D"/>
    <w:rsid w:val="6FF9720B"/>
    <w:rsid w:val="75AA56D8"/>
    <w:rsid w:val="777A05E8"/>
    <w:rsid w:val="7C1A61EA"/>
    <w:rsid w:val="7DFD5ACF"/>
    <w:rsid w:val="7E43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18"/>
      <w:szCs w:val="18"/>
      <w:u w:val="none"/>
    </w:rPr>
  </w:style>
  <w:style w:type="character" w:customStyle="1" w:styleId="5">
    <w:name w:val="font31"/>
    <w:basedOn w:val="3"/>
    <w:qFormat/>
    <w:uiPriority w:val="0"/>
    <w:rPr>
      <w:rFonts w:ascii="Arial" w:hAnsi="Arial" w:cs="Arial"/>
      <w:color w:val="2A506B"/>
      <w:sz w:val="19"/>
      <w:szCs w:val="19"/>
      <w:u w:val="none"/>
    </w:rPr>
  </w:style>
  <w:style w:type="paragraph" w:styleId="6">
    <w:name w:val="List Paragraph"/>
    <w:basedOn w:val="1"/>
    <w:qFormat/>
    <w:uiPriority w:val="34"/>
    <w:pPr>
      <w:ind w:left="720"/>
      <w:contextualSpacing/>
    </w:pPr>
  </w:style>
  <w:style w:type="character" w:customStyle="1" w:styleId="7">
    <w:name w:val="font41"/>
    <w:basedOn w:val="3"/>
    <w:uiPriority w:val="0"/>
    <w:rPr>
      <w:rFonts w:hint="eastAsia" w:ascii="宋体" w:hAnsi="宋体" w:eastAsia="宋体" w:cs="宋体"/>
      <w:color w:val="000000"/>
      <w:sz w:val="19"/>
      <w:szCs w:val="19"/>
      <w:u w:val="none"/>
    </w:rPr>
  </w:style>
  <w:style w:type="character" w:customStyle="1" w:styleId="8">
    <w:name w:val="font51"/>
    <w:basedOn w:val="3"/>
    <w:uiPriority w:val="0"/>
    <w:rPr>
      <w:rFonts w:ascii="Arial" w:hAnsi="Arial" w:cs="Arial"/>
      <w:color w:val="000000"/>
      <w:sz w:val="19"/>
      <w:szCs w:val="19"/>
      <w:u w:val="none"/>
    </w:rPr>
  </w:style>
  <w:style w:type="character" w:customStyle="1" w:styleId="9">
    <w:name w:val="font81"/>
    <w:basedOn w:val="3"/>
    <w:uiPriority w:val="0"/>
    <w:rPr>
      <w:rFonts w:ascii="微软雅黑" w:hAnsi="微软雅黑" w:eastAsia="微软雅黑" w:cs="微软雅黑"/>
      <w:color w:val="000000"/>
      <w:sz w:val="19"/>
      <w:szCs w:val="19"/>
      <w:u w:val="none"/>
    </w:rPr>
  </w:style>
  <w:style w:type="character" w:customStyle="1" w:styleId="10">
    <w:name w:val="font61"/>
    <w:basedOn w:val="3"/>
    <w:uiPriority w:val="0"/>
    <w:rPr>
      <w:rFonts w:hint="eastAsia" w:ascii="宋体" w:hAnsi="宋体" w:eastAsia="宋体" w:cs="宋体"/>
      <w:color w:val="2A506B"/>
      <w:sz w:val="19"/>
      <w:szCs w:val="19"/>
      <w:u w:val="none"/>
    </w:rPr>
  </w:style>
  <w:style w:type="character" w:customStyle="1" w:styleId="11">
    <w:name w:val="font91"/>
    <w:basedOn w:val="3"/>
    <w:uiPriority w:val="0"/>
    <w:rPr>
      <w:rFonts w:hint="eastAsia" w:ascii="微软雅黑" w:hAnsi="微软雅黑" w:eastAsia="微软雅黑" w:cs="微软雅黑"/>
      <w:color w:val="2A506B"/>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5432</Words>
  <Characters>6891</Characters>
  <Lines>0</Lines>
  <Paragraphs>0</Paragraphs>
  <TotalTime>31</TotalTime>
  <ScaleCrop>false</ScaleCrop>
  <LinksUpToDate>false</LinksUpToDate>
  <CharactersWithSpaces>6972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2023-08-07T01:56:00Z</dcterms:created>
  <dc:creator>李远丽</dc:creator>
  <cp:lastModifiedBy>山茶茶</cp:lastModifiedBy>
  <cp:lastPrinted>2023-08-09T00:13:00Z</cp:lastPrinted>
  <dcterms:modified xsi:type="dcterms:W3CDTF">2025-01-24T00:39:23Z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EB424CAC1EAB4CE8AB6EE999AAF08FF6_13</vt:lpwstr>
  </property>
  <property fmtid="{D5CDD505-2E9C-101B-9397-08002B2CF9AE}" pid="4" name="KSOTemplateDocerSaveRecord">
    <vt:lpwstr>eyJoZGlkIjoiMTRjN2I2N2RiZGU5N2YzMDE0NjAxOTYyY2MwNDk5ZDMiLCJ1c2VySWQiOiIyODM0Mjg1MDYifQ==</vt:lpwstr>
  </property>
</Properties>
</file>